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5F345" w14:textId="77777777" w:rsidR="00C67A98" w:rsidRPr="00DA5352" w:rsidRDefault="00306B4B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1BB998DE" wp14:editId="3A2A3AEA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6BA26BB1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510A4608" w14:textId="77777777" w:rsidR="00C67A98" w:rsidRPr="00DA5352" w:rsidRDefault="00C67A98" w:rsidP="00F41198">
      <w:pPr>
        <w:ind w:left="2007"/>
        <w:rPr>
          <w:color w:val="0000FF"/>
        </w:rPr>
      </w:pPr>
    </w:p>
    <w:p w14:paraId="122D8DEE" w14:textId="77777777" w:rsidR="00C67A98" w:rsidRPr="00DA5352" w:rsidRDefault="00C67A98" w:rsidP="003144B7">
      <w:pPr>
        <w:pStyle w:val="BodyTextIndent"/>
        <w:ind w:left="2007" w:firstLine="0"/>
        <w:outlineLvl w:val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78AAA1F3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4513D3D9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24B30D51" w14:textId="77777777" w:rsidR="00AA1E2F" w:rsidRDefault="00CF3890" w:rsidP="003144B7">
      <w:pPr>
        <w:outlineLvl w:val="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04129BF8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2EE92DC6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8F62DC4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ACA3" w14:textId="72A98B5F" w:rsidR="006D1B4E" w:rsidRPr="00C61931" w:rsidRDefault="00252FC9" w:rsidP="00252FC9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252FC9">
              <w:rPr>
                <w:rFonts w:ascii="Times New Roman" w:hAnsi="Times New Roman"/>
                <w:b/>
                <w:i/>
                <w:sz w:val="36"/>
                <w:szCs w:val="36"/>
              </w:rPr>
              <w:t>2017.016B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D59F3C1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53E7E86F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428DC5BE" w14:textId="5E93AA63" w:rsidR="00AA3952" w:rsidRPr="001E492D" w:rsidRDefault="006D1B4E" w:rsidP="00F74D87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6F47F9" w:rsidRPr="003144B7">
              <w:rPr>
                <w:rFonts w:ascii="Arial" w:hAnsi="Arial" w:cs="Arial"/>
                <w:b/>
                <w:color w:val="0432FF"/>
                <w:sz w:val="20"/>
                <w:szCs w:val="20"/>
              </w:rPr>
              <w:t xml:space="preserve">To create </w:t>
            </w:r>
            <w:r w:rsidR="003144B7">
              <w:rPr>
                <w:rFonts w:ascii="Arial" w:hAnsi="Arial" w:cs="Arial"/>
                <w:b/>
                <w:color w:val="0432FF"/>
                <w:sz w:val="20"/>
                <w:szCs w:val="20"/>
              </w:rPr>
              <w:t>six (</w:t>
            </w:r>
            <w:r w:rsidR="00D70DF3" w:rsidRPr="003144B7">
              <w:rPr>
                <w:rFonts w:ascii="Arial" w:hAnsi="Arial" w:cs="Arial"/>
                <w:b/>
                <w:color w:val="0432FF"/>
                <w:sz w:val="20"/>
                <w:szCs w:val="20"/>
              </w:rPr>
              <w:t>6</w:t>
            </w:r>
            <w:r w:rsidR="003144B7">
              <w:rPr>
                <w:rFonts w:ascii="Arial" w:hAnsi="Arial" w:cs="Arial"/>
                <w:b/>
                <w:color w:val="0432FF"/>
                <w:sz w:val="20"/>
                <w:szCs w:val="20"/>
              </w:rPr>
              <w:t>)</w:t>
            </w:r>
            <w:r w:rsidR="00D70DF3" w:rsidRPr="003144B7">
              <w:rPr>
                <w:rFonts w:ascii="Arial" w:hAnsi="Arial" w:cs="Arial"/>
                <w:b/>
                <w:color w:val="0432FF"/>
                <w:sz w:val="20"/>
                <w:szCs w:val="20"/>
              </w:rPr>
              <w:t xml:space="preserve"> new species in the genus </w:t>
            </w:r>
            <w:r w:rsidR="006F47F9" w:rsidRPr="003144B7">
              <w:rPr>
                <w:rFonts w:ascii="Arial" w:hAnsi="Arial" w:cs="Arial"/>
                <w:b/>
                <w:i/>
                <w:color w:val="0432FF"/>
                <w:sz w:val="20"/>
                <w:szCs w:val="20"/>
              </w:rPr>
              <w:t>Cysto</w:t>
            </w:r>
            <w:r w:rsidR="00D70DF3" w:rsidRPr="003144B7">
              <w:rPr>
                <w:rFonts w:ascii="Arial" w:hAnsi="Arial" w:cs="Arial"/>
                <w:b/>
                <w:i/>
                <w:color w:val="0432FF"/>
                <w:sz w:val="20"/>
                <w:szCs w:val="20"/>
              </w:rPr>
              <w:t>virus</w:t>
            </w:r>
          </w:p>
        </w:tc>
      </w:tr>
      <w:tr w:rsidR="00210B49" w:rsidRPr="001E492D" w14:paraId="49072D6E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CCBF12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03CAD9BA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180F734A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3C6A9A1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4" w:name="Check2"/>
            <w:r w:rsidR="0047089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70890">
              <w:rPr>
                <w:b/>
              </w:rPr>
              <w:instrText xml:space="preserve"> FORMCHECKBOX </w:instrText>
            </w:r>
            <w:r w:rsidR="00B3492E">
              <w:rPr>
                <w:b/>
              </w:rPr>
            </w:r>
            <w:r w:rsidR="00B3492E">
              <w:rPr>
                <w:b/>
              </w:rPr>
              <w:fldChar w:fldCharType="separate"/>
            </w:r>
            <w:r w:rsidR="00470890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4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47089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70890">
              <w:rPr>
                <w:b/>
              </w:rPr>
              <w:instrText xml:space="preserve"> FORMCHECKBOX </w:instrText>
            </w:r>
            <w:r w:rsidR="00B3492E">
              <w:rPr>
                <w:b/>
              </w:rPr>
            </w:r>
            <w:r w:rsidR="00B3492E">
              <w:rPr>
                <w:b/>
              </w:rPr>
              <w:fldChar w:fldCharType="separate"/>
            </w:r>
            <w:r w:rsidR="00470890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B3492E">
              <w:rPr>
                <w:b/>
              </w:rPr>
            </w:r>
            <w:r w:rsidR="00B3492E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47089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70890">
              <w:rPr>
                <w:b/>
              </w:rPr>
              <w:instrText xml:space="preserve"> FORMCHECKBOX </w:instrText>
            </w:r>
            <w:r w:rsidR="00B3492E">
              <w:rPr>
                <w:b/>
              </w:rPr>
            </w:r>
            <w:r w:rsidR="00B3492E">
              <w:rPr>
                <w:b/>
              </w:rPr>
              <w:fldChar w:fldCharType="separate"/>
            </w:r>
            <w:r w:rsidR="00470890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17664238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06930182" w14:textId="77777777">
        <w:tc>
          <w:tcPr>
            <w:tcW w:w="9468" w:type="dxa"/>
            <w:gridSpan w:val="6"/>
          </w:tcPr>
          <w:p w14:paraId="3366B74E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41238F" w14:paraId="1193238C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875B" w14:textId="0061CDB7" w:rsidR="00636B14" w:rsidRPr="00844A1A" w:rsidRDefault="00844A1A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 w:rsidRPr="00844A1A">
              <w:rPr>
                <w:rFonts w:ascii="Times New Roman" w:hAnsi="Times New Roman"/>
                <w:color w:val="000000"/>
                <w:lang w:val="fi-FI"/>
              </w:rPr>
              <w:t>Minna M. Poranen</w:t>
            </w:r>
            <w:r w:rsidR="003144B7">
              <w:rPr>
                <w:rFonts w:ascii="Times New Roman" w:hAnsi="Times New Roman"/>
                <w:color w:val="000000"/>
                <w:lang w:val="fi-FI"/>
              </w:rPr>
              <w:t>,</w:t>
            </w:r>
            <w:r w:rsidRPr="00844A1A">
              <w:rPr>
                <w:rFonts w:ascii="Times New Roman" w:hAnsi="Times New Roman"/>
                <w:color w:val="000000"/>
                <w:lang w:val="fi-FI"/>
              </w:rPr>
              <w:t xml:space="preserve"> University of Helsinki</w:t>
            </w:r>
            <w:r w:rsidR="003144B7">
              <w:rPr>
                <w:rFonts w:ascii="Times New Roman" w:hAnsi="Times New Roman"/>
                <w:color w:val="000000"/>
                <w:lang w:val="fi-FI"/>
              </w:rPr>
              <w:t xml:space="preserve"> (Finland)</w:t>
            </w:r>
          </w:p>
          <w:p w14:paraId="61FC7792" w14:textId="25B10478" w:rsidR="00844A1A" w:rsidRDefault="00844A1A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 w:rsidRPr="00844A1A">
              <w:rPr>
                <w:rFonts w:ascii="Times New Roman" w:hAnsi="Times New Roman"/>
                <w:color w:val="000000"/>
                <w:lang w:val="fi-FI"/>
              </w:rPr>
              <w:t>Sari Mäntynen</w:t>
            </w:r>
            <w:r w:rsidR="003144B7">
              <w:rPr>
                <w:rFonts w:ascii="Times New Roman" w:hAnsi="Times New Roman"/>
                <w:color w:val="000000"/>
                <w:lang w:val="fi-FI"/>
              </w:rPr>
              <w:t>,</w:t>
            </w:r>
            <w:r w:rsidRPr="00844A1A">
              <w:rPr>
                <w:rFonts w:ascii="Times New Roman" w:hAnsi="Times New Roman"/>
                <w:color w:val="000000"/>
                <w:lang w:val="fi-FI"/>
              </w:rPr>
              <w:t xml:space="preserve"> University of Jyväskylä</w:t>
            </w:r>
            <w:r w:rsidR="003144B7">
              <w:rPr>
                <w:rFonts w:ascii="Times New Roman" w:hAnsi="Times New Roman"/>
                <w:color w:val="000000"/>
                <w:lang w:val="fi-FI"/>
              </w:rPr>
              <w:t xml:space="preserve"> (Finland)</w:t>
            </w:r>
          </w:p>
          <w:p w14:paraId="1B8CB60D" w14:textId="77777777" w:rsidR="003144B7" w:rsidRDefault="003144B7" w:rsidP="003144B7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>
              <w:rPr>
                <w:rFonts w:ascii="Times New Roman" w:hAnsi="Times New Roman"/>
                <w:color w:val="000000"/>
                <w:lang w:val="fi-FI"/>
              </w:rPr>
              <w:t>Jens H. Kuhn, National Institute of Allergy and Infectious Diseases (USA)</w:t>
            </w:r>
          </w:p>
          <w:p w14:paraId="248E4109" w14:textId="77777777" w:rsidR="003144B7" w:rsidRDefault="003144B7" w:rsidP="003144B7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>
              <w:rPr>
                <w:rFonts w:ascii="Times New Roman" w:hAnsi="Times New Roman"/>
                <w:color w:val="000000"/>
                <w:lang w:val="fi-FI"/>
              </w:rPr>
              <w:t>Evelien M. Adriaenssens, University of Liverpool (UK)</w:t>
            </w:r>
          </w:p>
          <w:p w14:paraId="2C2E9191" w14:textId="3036340C" w:rsidR="003144B7" w:rsidRPr="00844A1A" w:rsidRDefault="003144B7" w:rsidP="003144B7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>
              <w:rPr>
                <w:rFonts w:ascii="Times New Roman" w:hAnsi="Times New Roman"/>
                <w:color w:val="000000"/>
                <w:lang w:val="fi-FI"/>
              </w:rPr>
              <w:t>Andrew M. Kropinski, University of Guelph (Canada)</w:t>
            </w:r>
          </w:p>
        </w:tc>
      </w:tr>
      <w:tr w:rsidR="00CE5ECF" w:rsidRPr="001E492D" w14:paraId="0147FD41" w14:textId="77777777" w:rsidTr="003B1954">
        <w:tc>
          <w:tcPr>
            <w:tcW w:w="9468" w:type="dxa"/>
            <w:gridSpan w:val="6"/>
          </w:tcPr>
          <w:p w14:paraId="54C76A5B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881C86" w14:paraId="301863DE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5212" w14:textId="77777777" w:rsidR="00CE5ECF" w:rsidRPr="00844A1A" w:rsidRDefault="00844A1A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 w:rsidRPr="00844A1A">
              <w:rPr>
                <w:rFonts w:ascii="Times New Roman" w:hAnsi="Times New Roman"/>
                <w:color w:val="000000"/>
                <w:lang w:val="fi-FI"/>
              </w:rPr>
              <w:t xml:space="preserve">Minna M. Poranen, </w:t>
            </w:r>
            <w:hyperlink r:id="rId8" w:history="1">
              <w:r w:rsidR="00E16D3E" w:rsidRPr="004F1DD1">
                <w:rPr>
                  <w:rStyle w:val="Hyperlink"/>
                  <w:rFonts w:ascii="Times New Roman" w:hAnsi="Times New Roman"/>
                  <w:lang w:val="fi-FI"/>
                </w:rPr>
                <w:t>minna.poranen@helsinki.fi</w:t>
              </w:r>
            </w:hyperlink>
            <w:r w:rsidR="00E16D3E">
              <w:rPr>
                <w:rFonts w:ascii="Times New Roman" w:hAnsi="Times New Roman"/>
                <w:color w:val="000000"/>
                <w:lang w:val="fi-FI"/>
              </w:rPr>
              <w:t xml:space="preserve"> </w:t>
            </w:r>
          </w:p>
        </w:tc>
      </w:tr>
      <w:tr w:rsidR="00D1634C" w14:paraId="734F3C90" w14:textId="77777777">
        <w:tc>
          <w:tcPr>
            <w:tcW w:w="9468" w:type="dxa"/>
            <w:gridSpan w:val="6"/>
          </w:tcPr>
          <w:p w14:paraId="32BC0D19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784BCB4A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6144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3868" w14:textId="77777777" w:rsidR="00D1634C" w:rsidRPr="00986F6A" w:rsidRDefault="00E16D3E" w:rsidP="00C15EC4">
            <w:pPr>
              <w:jc w:val="both"/>
              <w:rPr>
                <w:b/>
              </w:rPr>
            </w:pPr>
            <w:r>
              <w:rPr>
                <w:b/>
              </w:rPr>
              <w:t xml:space="preserve">ICTV </w:t>
            </w:r>
            <w:r w:rsidR="00844A1A">
              <w:rPr>
                <w:b/>
              </w:rPr>
              <w:t>Bacterial and Archaeal Viruses Subcommittee</w:t>
            </w:r>
          </w:p>
        </w:tc>
      </w:tr>
      <w:tr w:rsidR="00AA3952" w:rsidRPr="001E492D" w14:paraId="61CFF06E" w14:textId="77777777">
        <w:trPr>
          <w:tblHeader/>
        </w:trPr>
        <w:tc>
          <w:tcPr>
            <w:tcW w:w="9468" w:type="dxa"/>
            <w:gridSpan w:val="6"/>
          </w:tcPr>
          <w:p w14:paraId="0EC2CA1A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31F2E37B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1479384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7C9F6135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4E0DA5D3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35471158" w14:textId="77777777" w:rsidTr="00C15EC4">
        <w:trPr>
          <w:trHeight w:val="270"/>
        </w:trPr>
        <w:tc>
          <w:tcPr>
            <w:tcW w:w="5786" w:type="dxa"/>
            <w:gridSpan w:val="4"/>
          </w:tcPr>
          <w:p w14:paraId="096136C7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717F21F8" w14:textId="3BCA65AB" w:rsidR="00422FF0" w:rsidRDefault="00E16D3E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8, 2017</w:t>
            </w:r>
          </w:p>
        </w:tc>
      </w:tr>
      <w:tr w:rsidR="00422FF0" w:rsidRPr="001E492D" w14:paraId="011D6876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02712654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49D81153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603D3009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1AAD3F20" w14:textId="77777777" w:rsidTr="003B1954">
        <w:tc>
          <w:tcPr>
            <w:tcW w:w="9468" w:type="dxa"/>
          </w:tcPr>
          <w:p w14:paraId="2668B9D1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652281DB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6AF2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7DC9462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64356E08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70CB219D" w14:textId="77777777" w:rsidR="004B5D02" w:rsidRPr="006C4A0C" w:rsidRDefault="00CF3890" w:rsidP="003144B7">
      <w:pPr>
        <w:outlineLvl w:val="0"/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071422F2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3BD575C7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0AF3D571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A8D549D" w14:textId="6B93CB21" w:rsidR="007D6DB6" w:rsidRPr="001E492D" w:rsidRDefault="007D6DB6" w:rsidP="00A5210B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252FC9">
              <w:t xml:space="preserve"> </w:t>
            </w:r>
            <w:r w:rsidR="00252FC9" w:rsidRPr="00252FC9">
              <w:rPr>
                <w:b/>
              </w:rPr>
              <w:t>2017.016B.N.v1.Cystovirus_6sp</w:t>
            </w:r>
            <w:bookmarkStart w:id="5" w:name="_GoBack"/>
            <w:bookmarkEnd w:id="5"/>
          </w:p>
        </w:tc>
      </w:tr>
    </w:tbl>
    <w:p w14:paraId="475011B0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lastRenderedPageBreak/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65C36B45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4F72A35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691AFB8F" w14:textId="77777777" w:rsidR="004937AC" w:rsidRDefault="004937AC" w:rsidP="00926A4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ED831CD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6FB6F6B" w14:textId="77777777" w:rsidR="00AC0E72" w:rsidRDefault="006B2EE7" w:rsidP="003144B7">
      <w:pPr>
        <w:pStyle w:val="BodyTextIndent"/>
        <w:ind w:left="0" w:firstLine="0"/>
        <w:outlineLvl w:val="0"/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 w14:paraId="206920FF" w14:textId="77777777">
        <w:trPr>
          <w:tblHeader/>
        </w:trPr>
        <w:tc>
          <w:tcPr>
            <w:tcW w:w="9228" w:type="dxa"/>
          </w:tcPr>
          <w:p w14:paraId="26EE5615" w14:textId="77777777" w:rsidR="008071B6" w:rsidRPr="008071B6" w:rsidRDefault="008071B6" w:rsidP="00A11ACF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7EDA39A3" w14:textId="77777777">
        <w:trPr>
          <w:tblHeader/>
        </w:trPr>
        <w:tc>
          <w:tcPr>
            <w:tcW w:w="9228" w:type="dxa"/>
          </w:tcPr>
          <w:p w14:paraId="7C23A768" w14:textId="77777777"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1E492D" w14:paraId="0444F0FF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E221F8" w14:textId="77777777" w:rsidR="00C57855" w:rsidRDefault="00C57855" w:rsidP="00F411CA">
            <w:pPr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C57855">
              <w:rPr>
                <w:rFonts w:ascii="Arial" w:hAnsi="Arial" w:cs="Arial"/>
                <w:sz w:val="20"/>
                <w:szCs w:val="20"/>
                <w:lang w:eastAsia="en-GB"/>
              </w:rPr>
              <w:t>Dereeper A, Guignon V, Blanc G, Audic S, Buffet S, Chevenet F, Dufayard JF, Guindon S, Lefort V, L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escot M, Claverie JM, Gascuel O (2008)</w:t>
            </w:r>
            <w:r w:rsidRPr="00C57855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Phylogeny.fr: robust phylogenetic analysis for the non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-specialist. Nucleic Acids Res </w:t>
            </w:r>
            <w:r w:rsidRPr="00C57855">
              <w:rPr>
                <w:rFonts w:ascii="Arial" w:hAnsi="Arial" w:cs="Arial"/>
                <w:sz w:val="20"/>
                <w:szCs w:val="20"/>
                <w:lang w:eastAsia="en-GB"/>
              </w:rPr>
              <w:t>36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Pr="00C57855">
              <w:rPr>
                <w:rFonts w:ascii="Arial" w:hAnsi="Arial" w:cs="Arial"/>
                <w:sz w:val="20"/>
                <w:szCs w:val="20"/>
                <w:lang w:eastAsia="en-GB"/>
              </w:rPr>
              <w:t>(Web Server issue):W465-9.</w:t>
            </w:r>
          </w:p>
          <w:p w14:paraId="423DF565" w14:textId="77777777" w:rsidR="00C57855" w:rsidRPr="00C57855" w:rsidRDefault="00C57855" w:rsidP="00F411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FBF669" w14:textId="77777777" w:rsidR="00F411CA" w:rsidRPr="00C57855" w:rsidRDefault="00F411CA" w:rsidP="00F411CA">
            <w:pPr>
              <w:rPr>
                <w:rFonts w:ascii="Arial" w:hAnsi="Arial" w:cs="Arial"/>
                <w:sz w:val="20"/>
                <w:szCs w:val="20"/>
              </w:rPr>
            </w:pPr>
            <w:r w:rsidRPr="00C57855">
              <w:rPr>
                <w:rFonts w:ascii="Arial" w:hAnsi="Arial" w:cs="Arial"/>
                <w:sz w:val="20"/>
                <w:szCs w:val="20"/>
              </w:rPr>
              <w:t xml:space="preserve">Gottlieb P, Potgieter C, Wei H, Toporovsky I (2002a) Characterization of φ12, a bacteriophage related to φ6: nucleotide sequence of the large double-stranded RNA. </w:t>
            </w:r>
            <w:r w:rsidRPr="00C57855">
              <w:rPr>
                <w:rFonts w:ascii="Arial" w:hAnsi="Arial" w:cs="Arial"/>
                <w:iCs/>
                <w:sz w:val="20"/>
                <w:szCs w:val="20"/>
              </w:rPr>
              <w:t xml:space="preserve">Virology </w:t>
            </w:r>
            <w:r w:rsidRPr="00C57855">
              <w:rPr>
                <w:rFonts w:ascii="Arial" w:hAnsi="Arial" w:cs="Arial"/>
                <w:sz w:val="20"/>
                <w:szCs w:val="20"/>
              </w:rPr>
              <w:t xml:space="preserve">295: 266-271. </w:t>
            </w:r>
          </w:p>
          <w:p w14:paraId="2629085E" w14:textId="77777777" w:rsidR="00F411CA" w:rsidRPr="00C57855" w:rsidRDefault="00F411CA" w:rsidP="00F411CA">
            <w:pPr>
              <w:ind w:left="-403"/>
              <w:rPr>
                <w:rFonts w:ascii="Arial" w:hAnsi="Arial" w:cs="Arial"/>
                <w:sz w:val="20"/>
                <w:szCs w:val="20"/>
              </w:rPr>
            </w:pPr>
          </w:p>
          <w:p w14:paraId="0F32B90C" w14:textId="77777777" w:rsidR="00F411CA" w:rsidRPr="00C57855" w:rsidRDefault="00F411CA" w:rsidP="00F411CA">
            <w:pPr>
              <w:rPr>
                <w:rFonts w:ascii="Arial" w:hAnsi="Arial" w:cs="Arial"/>
                <w:sz w:val="20"/>
                <w:szCs w:val="20"/>
              </w:rPr>
            </w:pPr>
            <w:r w:rsidRPr="00C57855">
              <w:rPr>
                <w:rFonts w:ascii="Arial" w:hAnsi="Arial" w:cs="Arial"/>
                <w:sz w:val="20"/>
                <w:szCs w:val="20"/>
              </w:rPr>
              <w:t xml:space="preserve">Gottlieb P, Wei H., Potgieter C, Toporovsky I (2002b) Characterization of φ12, a bacteriophage related to φ6: nucleotide sequence of the small and middle double-stranded RNA. </w:t>
            </w:r>
            <w:r w:rsidRPr="00C57855">
              <w:rPr>
                <w:rFonts w:ascii="Arial" w:hAnsi="Arial" w:cs="Arial"/>
                <w:iCs/>
                <w:sz w:val="20"/>
                <w:szCs w:val="20"/>
              </w:rPr>
              <w:t>Virology</w:t>
            </w:r>
            <w:r w:rsidRPr="00C5785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57855">
              <w:rPr>
                <w:rFonts w:ascii="Arial" w:hAnsi="Arial" w:cs="Arial"/>
                <w:sz w:val="20"/>
                <w:szCs w:val="20"/>
              </w:rPr>
              <w:t xml:space="preserve">293: 118-124. </w:t>
            </w:r>
          </w:p>
          <w:p w14:paraId="27F1ABFF" w14:textId="77777777" w:rsidR="00F411CA" w:rsidRPr="00C57855" w:rsidRDefault="00F411CA" w:rsidP="00F411CA">
            <w:pPr>
              <w:pStyle w:val="NormalWeb"/>
              <w:jc w:val="both"/>
              <w:rPr>
                <w:rFonts w:ascii="Arial" w:hAnsi="Arial" w:cs="Arial"/>
                <w:lang w:val="en-US"/>
              </w:rPr>
            </w:pPr>
            <w:r w:rsidRPr="00C57855">
              <w:rPr>
                <w:rFonts w:ascii="Arial" w:hAnsi="Arial" w:cs="Arial"/>
                <w:lang w:val="en-US"/>
              </w:rPr>
              <w:t xml:space="preserve">Hoogstraten D, Qiao X, Sun Y, Hu A, Onodera S, Mindich L (2000) Characterization of </w:t>
            </w:r>
            <w:r w:rsidRPr="00C57855">
              <w:rPr>
                <w:rFonts w:ascii="Arial" w:hAnsi="Arial" w:cs="Arial"/>
              </w:rPr>
              <w:t>φ</w:t>
            </w:r>
            <w:r w:rsidRPr="00C57855">
              <w:rPr>
                <w:rFonts w:ascii="Arial" w:hAnsi="Arial" w:cs="Arial"/>
                <w:lang w:val="en-US"/>
              </w:rPr>
              <w:t xml:space="preserve">8, a bacteriophage containing three double-stranded RNA genomic segments and distantly related to </w:t>
            </w:r>
            <w:r w:rsidRPr="00C57855">
              <w:rPr>
                <w:rFonts w:ascii="Arial" w:hAnsi="Arial" w:cs="Arial"/>
              </w:rPr>
              <w:t>φ</w:t>
            </w:r>
            <w:r w:rsidRPr="00C57855">
              <w:rPr>
                <w:rFonts w:ascii="Arial" w:hAnsi="Arial" w:cs="Arial"/>
                <w:lang w:val="en-US"/>
              </w:rPr>
              <w:t xml:space="preserve">6. </w:t>
            </w:r>
            <w:r w:rsidRPr="00C57855">
              <w:rPr>
                <w:rFonts w:ascii="Arial" w:hAnsi="Arial" w:cs="Arial"/>
                <w:i/>
                <w:iCs/>
                <w:lang w:val="en-US"/>
              </w:rPr>
              <w:t xml:space="preserve">Virology </w:t>
            </w:r>
            <w:r w:rsidRPr="00C57855">
              <w:rPr>
                <w:rFonts w:ascii="Arial" w:hAnsi="Arial" w:cs="Arial"/>
                <w:lang w:val="en-US"/>
              </w:rPr>
              <w:t>272: 218-224.</w:t>
            </w:r>
          </w:p>
          <w:p w14:paraId="7D6016AC" w14:textId="77777777" w:rsidR="00F411CA" w:rsidRPr="00C57855" w:rsidRDefault="00F411CA" w:rsidP="00F411CA">
            <w:pPr>
              <w:pStyle w:val="NormalWeb"/>
              <w:jc w:val="both"/>
              <w:rPr>
                <w:rFonts w:ascii="Arial" w:hAnsi="Arial" w:cs="Arial"/>
                <w:lang w:val="en-US"/>
              </w:rPr>
            </w:pPr>
            <w:r w:rsidRPr="00C57855">
              <w:rPr>
                <w:rFonts w:ascii="Arial" w:hAnsi="Arial" w:cs="Arial"/>
                <w:lang w:val="en-US"/>
              </w:rPr>
              <w:t xml:space="preserve">Jäälinoja HT, Huiskonen JT, Butcher SJ (2007) Electron cryomicroscopy comparison of the architectures of the enveloped bacteriophages </w:t>
            </w:r>
            <w:r w:rsidRPr="00C57855">
              <w:rPr>
                <w:rFonts w:ascii="Arial" w:hAnsi="Arial" w:cs="Arial"/>
              </w:rPr>
              <w:t>φ</w:t>
            </w:r>
            <w:r w:rsidRPr="00C57855">
              <w:rPr>
                <w:rFonts w:ascii="Arial" w:hAnsi="Arial" w:cs="Arial"/>
                <w:lang w:val="en-US"/>
              </w:rPr>
              <w:t xml:space="preserve">6 and </w:t>
            </w:r>
            <w:r w:rsidRPr="00C57855">
              <w:rPr>
                <w:rFonts w:ascii="Arial" w:hAnsi="Arial" w:cs="Arial"/>
              </w:rPr>
              <w:t>φ</w:t>
            </w:r>
            <w:r w:rsidRPr="00C57855">
              <w:rPr>
                <w:rFonts w:ascii="Arial" w:hAnsi="Arial" w:cs="Arial"/>
                <w:lang w:val="en-US"/>
              </w:rPr>
              <w:t xml:space="preserve">8. </w:t>
            </w:r>
            <w:r w:rsidRPr="00C57855">
              <w:rPr>
                <w:rFonts w:ascii="Arial" w:hAnsi="Arial" w:cs="Arial"/>
                <w:iCs/>
                <w:lang w:val="en-US"/>
              </w:rPr>
              <w:t>Structure</w:t>
            </w:r>
            <w:r w:rsidRPr="00C57855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Pr="00C57855">
              <w:rPr>
                <w:rFonts w:ascii="Arial" w:hAnsi="Arial" w:cs="Arial"/>
                <w:lang w:val="en-US"/>
              </w:rPr>
              <w:t xml:space="preserve">15: 157-167. </w:t>
            </w:r>
          </w:p>
          <w:p w14:paraId="6A52B7CC" w14:textId="77777777" w:rsidR="00F411CA" w:rsidRPr="00C57855" w:rsidRDefault="00F411CA" w:rsidP="00F411CA">
            <w:pPr>
              <w:pStyle w:val="NormalWeb"/>
              <w:jc w:val="both"/>
              <w:rPr>
                <w:rFonts w:ascii="Arial" w:hAnsi="Arial" w:cs="Arial"/>
                <w:lang w:val="en-US"/>
              </w:rPr>
            </w:pPr>
            <w:r w:rsidRPr="00C57855">
              <w:rPr>
                <w:rFonts w:ascii="Arial" w:hAnsi="Arial" w:cs="Arial"/>
                <w:lang w:val="en-US"/>
              </w:rPr>
              <w:t xml:space="preserve">Mindich L, Qiao X, Qiao J, Onodera S, Romantschuk M, Hoogstraten D (1999) Isolation of additional bacteriophages with genomes of segmented double-stranded RNA. </w:t>
            </w:r>
            <w:r w:rsidRPr="00C57855">
              <w:rPr>
                <w:rFonts w:ascii="Arial" w:hAnsi="Arial" w:cs="Arial"/>
                <w:iCs/>
                <w:lang w:val="en-US"/>
              </w:rPr>
              <w:t>J Bacteriol</w:t>
            </w:r>
            <w:r w:rsidRPr="00C57855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Pr="00C57855">
              <w:rPr>
                <w:rFonts w:ascii="Arial" w:hAnsi="Arial" w:cs="Arial"/>
                <w:lang w:val="en-US"/>
              </w:rPr>
              <w:t xml:space="preserve">181: 4505-4508. </w:t>
            </w:r>
          </w:p>
          <w:p w14:paraId="0261FBEF" w14:textId="77777777" w:rsidR="00F411CA" w:rsidRPr="00C57855" w:rsidRDefault="00F411CA" w:rsidP="00F411CA">
            <w:pPr>
              <w:pStyle w:val="NormalWeb"/>
              <w:jc w:val="both"/>
              <w:rPr>
                <w:rFonts w:ascii="Arial" w:hAnsi="Arial" w:cs="Arial"/>
                <w:lang w:val="en-GB"/>
              </w:rPr>
            </w:pPr>
            <w:r w:rsidRPr="00C57855">
              <w:rPr>
                <w:rFonts w:ascii="Arial" w:hAnsi="Arial" w:cs="Arial"/>
                <w:lang w:val="en-US"/>
              </w:rPr>
              <w:t xml:space="preserve">Mäntynen S, Laanto E, Kohvakka A, Poranen MM, Bamford JKH, Ravantti JJ (2015) </w:t>
            </w:r>
            <w:r w:rsidRPr="00C57855">
              <w:rPr>
                <w:rFonts w:ascii="Arial" w:hAnsi="Arial" w:cs="Arial"/>
                <w:lang w:val="en-GB"/>
              </w:rPr>
              <w:t>New enveloped dsRNA phage from freshwater habitat. Journal of General Virology. 96: 1180-1189.</w:t>
            </w:r>
          </w:p>
          <w:p w14:paraId="040AA5BE" w14:textId="77777777" w:rsidR="00F411CA" w:rsidRPr="00C57855" w:rsidRDefault="00F411CA" w:rsidP="00F411CA">
            <w:pPr>
              <w:pStyle w:val="NormalWeb"/>
              <w:jc w:val="both"/>
              <w:rPr>
                <w:rFonts w:ascii="Arial" w:hAnsi="Arial" w:cs="Arial"/>
                <w:lang w:val="en-US"/>
              </w:rPr>
            </w:pPr>
            <w:r w:rsidRPr="00C57855">
              <w:rPr>
                <w:rFonts w:ascii="Arial" w:hAnsi="Arial" w:cs="Arial"/>
                <w:lang w:val="en-US"/>
              </w:rPr>
              <w:t xml:space="preserve">Qiao X, Qiao J, Onodera S, Mindich L (2000) Characterization of </w:t>
            </w:r>
            <w:r w:rsidRPr="00C57855">
              <w:rPr>
                <w:rFonts w:ascii="Arial" w:hAnsi="Arial" w:cs="Arial"/>
              </w:rPr>
              <w:t>φ</w:t>
            </w:r>
            <w:r w:rsidRPr="00C57855">
              <w:rPr>
                <w:rFonts w:ascii="Arial" w:hAnsi="Arial" w:cs="Arial"/>
                <w:lang w:val="en-US"/>
              </w:rPr>
              <w:t xml:space="preserve">13, a bacteriophage related to </w:t>
            </w:r>
            <w:r w:rsidRPr="00C57855">
              <w:rPr>
                <w:rFonts w:ascii="Arial" w:hAnsi="Arial" w:cs="Arial"/>
              </w:rPr>
              <w:t>φ</w:t>
            </w:r>
            <w:r w:rsidRPr="00C57855">
              <w:rPr>
                <w:rFonts w:ascii="Arial" w:hAnsi="Arial" w:cs="Arial"/>
                <w:lang w:val="en-US"/>
              </w:rPr>
              <w:t xml:space="preserve">6 and containing three dsRNA genomic segments. </w:t>
            </w:r>
            <w:r w:rsidRPr="00C57855">
              <w:rPr>
                <w:rFonts w:ascii="Arial" w:hAnsi="Arial" w:cs="Arial"/>
                <w:iCs/>
                <w:lang w:val="en-US"/>
              </w:rPr>
              <w:t>Virology</w:t>
            </w:r>
            <w:r w:rsidRPr="00C57855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Pr="00C57855">
              <w:rPr>
                <w:rFonts w:ascii="Arial" w:hAnsi="Arial" w:cs="Arial"/>
                <w:lang w:val="en-US"/>
              </w:rPr>
              <w:t xml:space="preserve">275: 218-224. </w:t>
            </w:r>
          </w:p>
          <w:p w14:paraId="27851A0E" w14:textId="77777777" w:rsidR="00F411CA" w:rsidRPr="00C57855" w:rsidRDefault="00F411CA" w:rsidP="00F411CA">
            <w:pPr>
              <w:pStyle w:val="NormalWeb"/>
              <w:jc w:val="both"/>
              <w:rPr>
                <w:rFonts w:ascii="Arial" w:hAnsi="Arial" w:cs="Arial"/>
                <w:lang w:val="en-US"/>
              </w:rPr>
            </w:pPr>
            <w:r w:rsidRPr="00C57855">
              <w:rPr>
                <w:rFonts w:ascii="Arial" w:hAnsi="Arial" w:cs="Arial"/>
                <w:lang w:val="en-US"/>
              </w:rPr>
              <w:t xml:space="preserve">Qiao X, Sun Y, Qiao J, Di Sanzo F, Mindich L (2010) Characterization of </w:t>
            </w:r>
            <w:r w:rsidRPr="00C57855">
              <w:rPr>
                <w:rFonts w:ascii="Arial" w:hAnsi="Arial" w:cs="Arial"/>
              </w:rPr>
              <w:t>φ</w:t>
            </w:r>
            <w:r w:rsidRPr="00C57855">
              <w:rPr>
                <w:rFonts w:ascii="Arial" w:hAnsi="Arial" w:cs="Arial"/>
                <w:lang w:val="en-US"/>
              </w:rPr>
              <w:t xml:space="preserve">2954, a newly isolated bacteriophage containing three dsRNA genomic segments. </w:t>
            </w:r>
            <w:r w:rsidRPr="00C57855">
              <w:rPr>
                <w:rFonts w:ascii="Arial" w:hAnsi="Arial" w:cs="Arial"/>
                <w:iCs/>
                <w:lang w:val="en-US"/>
              </w:rPr>
              <w:t>BMC Microbiol</w:t>
            </w:r>
            <w:r w:rsidRPr="00C57855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Pr="00C57855">
              <w:rPr>
                <w:rFonts w:ascii="Arial" w:hAnsi="Arial" w:cs="Arial"/>
                <w:lang w:val="en-US"/>
              </w:rPr>
              <w:t xml:space="preserve">10: 55-2180-10-55.  </w:t>
            </w:r>
          </w:p>
          <w:p w14:paraId="3845661E" w14:textId="77777777" w:rsidR="00F411CA" w:rsidRPr="00C57855" w:rsidRDefault="00F411CA" w:rsidP="00F411CA">
            <w:pPr>
              <w:pStyle w:val="NormalWeb"/>
              <w:jc w:val="both"/>
              <w:rPr>
                <w:rFonts w:ascii="Arial" w:hAnsi="Arial" w:cs="Arial"/>
                <w:lang w:val="en-US"/>
              </w:rPr>
            </w:pPr>
            <w:r w:rsidRPr="00C57855">
              <w:rPr>
                <w:rFonts w:ascii="Arial" w:hAnsi="Arial" w:cs="Arial"/>
                <w:lang w:val="en-US"/>
              </w:rPr>
              <w:t>Wei H, Cheng RH, Berriman J, Rice WJ, Stokes DL, Katz A, Morgan DG, Gottlieb P (2009) Three-dimensional structure of the enveloped bacteriophage phi12: an incomplete T=13 lattice is superposed on an enclosed T=1 shell. PLoS One 4(9):e6850.</w:t>
            </w:r>
          </w:p>
          <w:p w14:paraId="596B4BB9" w14:textId="77777777" w:rsidR="006C4A0C" w:rsidRPr="00C61931" w:rsidRDefault="00F411CA" w:rsidP="000161E2">
            <w:pPr>
              <w:pStyle w:val="NormalWeb"/>
              <w:jc w:val="both"/>
              <w:rPr>
                <w:rFonts w:ascii="Times New Roman" w:hAnsi="Times New Roman"/>
                <w:color w:val="000000"/>
              </w:rPr>
            </w:pPr>
            <w:r w:rsidRPr="00C57855">
              <w:rPr>
                <w:rFonts w:ascii="Arial" w:hAnsi="Arial" w:cs="Arial"/>
                <w:bCs/>
                <w:lang w:val="en-US"/>
              </w:rPr>
              <w:t>Yang</w:t>
            </w:r>
            <w:r w:rsidRPr="00C57855">
              <w:rPr>
                <w:rFonts w:ascii="Arial" w:hAnsi="Arial" w:cs="Arial"/>
                <w:lang w:val="en-US"/>
              </w:rPr>
              <w:t xml:space="preserve"> Y, Lu S, Shen W, Zhao X, Shen M, Tan Y, Li G, Li M, Wang J, Hu F, Le S (2016) </w:t>
            </w:r>
            <w:hyperlink r:id="rId10" w:history="1">
              <w:r w:rsidRPr="00C57855">
                <w:rPr>
                  <w:rFonts w:ascii="Arial" w:hAnsi="Arial" w:cs="Arial"/>
                  <w:lang w:val="en-US"/>
                </w:rPr>
                <w:t xml:space="preserve">Characterization of the first double-stranded </w:t>
              </w:r>
              <w:r w:rsidRPr="00C57855">
                <w:rPr>
                  <w:rFonts w:ascii="Arial" w:hAnsi="Arial" w:cs="Arial"/>
                  <w:bCs/>
                  <w:lang w:val="en-US"/>
                </w:rPr>
                <w:t>RNA bacteriophage</w:t>
              </w:r>
              <w:r w:rsidRPr="00C57855">
                <w:rPr>
                  <w:rFonts w:ascii="Arial" w:hAnsi="Arial" w:cs="Arial"/>
                  <w:lang w:val="en-US"/>
                </w:rPr>
                <w:t xml:space="preserve"> infecting </w:t>
              </w:r>
              <w:r w:rsidRPr="00C57855">
                <w:rPr>
                  <w:rFonts w:ascii="Arial" w:hAnsi="Arial" w:cs="Arial"/>
                  <w:i/>
                  <w:lang w:val="en-US"/>
                </w:rPr>
                <w:t>Pseudomonas aeruginosa</w:t>
              </w:r>
              <w:r w:rsidRPr="00C57855">
                <w:rPr>
                  <w:rFonts w:ascii="Arial" w:hAnsi="Arial" w:cs="Arial"/>
                  <w:lang w:val="en-US"/>
                </w:rPr>
                <w:t>.</w:t>
              </w:r>
            </w:hyperlink>
            <w:r w:rsidRPr="00C57855">
              <w:rPr>
                <w:rFonts w:ascii="Arial" w:hAnsi="Arial" w:cs="Arial"/>
                <w:lang w:val="en-US"/>
              </w:rPr>
              <w:t xml:space="preserve"> </w:t>
            </w:r>
            <w:r w:rsidRPr="00C57855">
              <w:rPr>
                <w:rStyle w:val="jrnl"/>
                <w:rFonts w:ascii="Arial" w:hAnsi="Arial" w:cs="Arial"/>
                <w:lang w:val="en-US"/>
              </w:rPr>
              <w:t>Sci Rep</w:t>
            </w:r>
            <w:r w:rsidRPr="00C57855">
              <w:rPr>
                <w:rFonts w:ascii="Arial" w:hAnsi="Arial" w:cs="Arial"/>
                <w:lang w:val="en-US"/>
              </w:rPr>
              <w:t xml:space="preserve"> 6:38795.</w:t>
            </w:r>
          </w:p>
        </w:tc>
      </w:tr>
    </w:tbl>
    <w:p w14:paraId="63DE129E" w14:textId="77777777" w:rsidR="00AC0E72" w:rsidRDefault="00AC0E72" w:rsidP="00AC0E72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C0E72" w:rsidRPr="001E492D" w14:paraId="4558C11F" w14:textId="77777777" w:rsidTr="001E59C1">
        <w:trPr>
          <w:trHeight w:val="1566"/>
        </w:trPr>
        <w:tc>
          <w:tcPr>
            <w:tcW w:w="9228" w:type="dxa"/>
          </w:tcPr>
          <w:p w14:paraId="597D2923" w14:textId="77777777" w:rsidR="00AC0E72" w:rsidRDefault="00AC0E72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7FD3CD83" w14:textId="77777777" w:rsidR="00844A1A" w:rsidRDefault="00844A1A" w:rsidP="006F47F9">
            <w:pPr>
              <w:jc w:val="both"/>
              <w:rPr>
                <w:rFonts w:ascii="Arial" w:hAnsi="Arial" w:cs="Arial"/>
                <w:sz w:val="20"/>
              </w:rPr>
            </w:pPr>
          </w:p>
          <w:p w14:paraId="7B802581" w14:textId="77777777" w:rsidR="00B3773E" w:rsidRDefault="00B3773E" w:rsidP="006F47F9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Introduction:</w:t>
            </w:r>
          </w:p>
          <w:p w14:paraId="7E2BBD12" w14:textId="1557B04A" w:rsidR="00D147F8" w:rsidRDefault="00E16D3E" w:rsidP="006F47F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</w:t>
            </w:r>
            <w:r w:rsidR="00B3773E" w:rsidRPr="00B3773E">
              <w:rPr>
                <w:rFonts w:ascii="Arial" w:hAnsi="Arial" w:cs="Arial"/>
                <w:i/>
                <w:sz w:val="20"/>
              </w:rPr>
              <w:t>Cystoviridae</w:t>
            </w:r>
            <w:r w:rsidR="00B3773E">
              <w:rPr>
                <w:rFonts w:ascii="Arial" w:hAnsi="Arial" w:cs="Arial"/>
                <w:sz w:val="20"/>
              </w:rPr>
              <w:t xml:space="preserve"> family currently </w:t>
            </w:r>
            <w:r>
              <w:rPr>
                <w:rFonts w:ascii="Arial" w:hAnsi="Arial" w:cs="Arial"/>
                <w:sz w:val="20"/>
              </w:rPr>
              <w:t>includes</w:t>
            </w:r>
            <w:r w:rsidR="00B3773E">
              <w:rPr>
                <w:rFonts w:ascii="Arial" w:hAnsi="Arial" w:cs="Arial"/>
                <w:sz w:val="20"/>
              </w:rPr>
              <w:t xml:space="preserve"> one genus </w:t>
            </w:r>
            <w:r w:rsidR="00B3773E" w:rsidRPr="00B3773E">
              <w:rPr>
                <w:rFonts w:ascii="Arial" w:hAnsi="Arial" w:cs="Arial"/>
                <w:i/>
                <w:sz w:val="20"/>
              </w:rPr>
              <w:t>Cystovirus</w:t>
            </w:r>
            <w:r w:rsidR="00B3773E">
              <w:rPr>
                <w:rFonts w:ascii="Arial" w:hAnsi="Arial" w:cs="Arial"/>
                <w:i/>
                <w:sz w:val="20"/>
              </w:rPr>
              <w:t xml:space="preserve"> </w:t>
            </w:r>
            <w:r w:rsidR="00B3773E" w:rsidRPr="00B3773E">
              <w:rPr>
                <w:rFonts w:ascii="Arial" w:hAnsi="Arial" w:cs="Arial"/>
                <w:sz w:val="20"/>
              </w:rPr>
              <w:t>and one species</w:t>
            </w:r>
            <w:r>
              <w:rPr>
                <w:rFonts w:ascii="Arial" w:hAnsi="Arial" w:cs="Arial"/>
                <w:sz w:val="20"/>
              </w:rPr>
              <w:t>,</w:t>
            </w:r>
            <w:r w:rsidR="00B3773E">
              <w:rPr>
                <w:rFonts w:ascii="Arial" w:hAnsi="Arial" w:cs="Arial"/>
                <w:i/>
                <w:sz w:val="20"/>
              </w:rPr>
              <w:t xml:space="preserve"> Pseudomonas virus phi6. </w:t>
            </w:r>
            <w:r w:rsidR="00B3773E" w:rsidRPr="00B3773E">
              <w:rPr>
                <w:rFonts w:ascii="Arial" w:hAnsi="Arial" w:cs="Arial"/>
                <w:sz w:val="20"/>
              </w:rPr>
              <w:t>Six additional</w:t>
            </w:r>
            <w:r>
              <w:rPr>
                <w:rFonts w:ascii="Arial" w:hAnsi="Arial" w:cs="Arial"/>
                <w:sz w:val="20"/>
              </w:rPr>
              <w:t>, cystovirus-related</w:t>
            </w:r>
            <w:r w:rsidR="00B3773E" w:rsidRPr="00B3773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phages</w:t>
            </w:r>
            <w:r w:rsidR="00B3773E" w:rsidRPr="00B3773E">
              <w:rPr>
                <w:rFonts w:ascii="Arial" w:hAnsi="Arial" w:cs="Arial"/>
                <w:sz w:val="20"/>
              </w:rPr>
              <w:t xml:space="preserve"> </w:t>
            </w:r>
            <w:r w:rsidR="00AC4313">
              <w:rPr>
                <w:rFonts w:ascii="Arial" w:hAnsi="Arial" w:cs="Arial"/>
                <w:sz w:val="20"/>
              </w:rPr>
              <w:t xml:space="preserve">with dsRNA genomes </w:t>
            </w:r>
            <w:r w:rsidR="00B3773E" w:rsidRPr="00B3773E">
              <w:rPr>
                <w:rFonts w:ascii="Arial" w:hAnsi="Arial" w:cs="Arial"/>
                <w:sz w:val="20"/>
              </w:rPr>
              <w:t>have been isolated</w:t>
            </w:r>
            <w:r w:rsidR="00AC4313">
              <w:rPr>
                <w:rFonts w:ascii="Arial" w:hAnsi="Arial" w:cs="Arial"/>
                <w:sz w:val="20"/>
              </w:rPr>
              <w:t xml:space="preserve"> and completely sequenced</w:t>
            </w:r>
            <w:r w:rsidR="00FD509A">
              <w:rPr>
                <w:rFonts w:ascii="Arial" w:hAnsi="Arial" w:cs="Arial"/>
                <w:sz w:val="20"/>
              </w:rPr>
              <w:t xml:space="preserve"> </w:t>
            </w:r>
            <w:r w:rsidR="00C80659" w:rsidRPr="00C80659">
              <w:rPr>
                <w:rFonts w:ascii="Arial" w:hAnsi="Arial" w:cs="Arial"/>
                <w:sz w:val="20"/>
                <w:szCs w:val="20"/>
              </w:rPr>
              <w:t>(</w:t>
            </w:r>
            <w:r w:rsidR="00597E20">
              <w:rPr>
                <w:rFonts w:ascii="Arial" w:hAnsi="Arial" w:cs="Arial"/>
                <w:sz w:val="20"/>
                <w:szCs w:val="20"/>
              </w:rPr>
              <w:t xml:space="preserve">Table 1; </w:t>
            </w:r>
            <w:r w:rsidR="00C80659" w:rsidRPr="00C80659">
              <w:rPr>
                <w:rFonts w:ascii="Arial" w:hAnsi="Arial" w:cs="Arial"/>
                <w:sz w:val="20"/>
                <w:szCs w:val="20"/>
              </w:rPr>
              <w:t xml:space="preserve">Mindich </w:t>
            </w:r>
            <w:r w:rsidR="00C80659" w:rsidRPr="00C80659">
              <w:rPr>
                <w:rFonts w:ascii="Arial" w:hAnsi="Arial" w:cs="Arial"/>
                <w:i/>
                <w:sz w:val="20"/>
                <w:szCs w:val="20"/>
              </w:rPr>
              <w:t>et al</w:t>
            </w:r>
            <w:r w:rsidR="00C80659" w:rsidRPr="00C80659">
              <w:rPr>
                <w:rFonts w:ascii="Arial" w:hAnsi="Arial" w:cs="Arial"/>
                <w:sz w:val="20"/>
                <w:szCs w:val="20"/>
              </w:rPr>
              <w:t xml:space="preserve">., 1999; Hoogstraten </w:t>
            </w:r>
            <w:r w:rsidR="00C80659" w:rsidRPr="00C80659">
              <w:rPr>
                <w:rFonts w:ascii="Arial" w:hAnsi="Arial" w:cs="Arial"/>
                <w:i/>
                <w:sz w:val="20"/>
                <w:szCs w:val="20"/>
              </w:rPr>
              <w:t>et al</w:t>
            </w:r>
            <w:r w:rsidR="00C80659" w:rsidRPr="00C80659">
              <w:rPr>
                <w:rFonts w:ascii="Arial" w:hAnsi="Arial" w:cs="Arial"/>
                <w:sz w:val="20"/>
                <w:szCs w:val="20"/>
              </w:rPr>
              <w:t xml:space="preserve">., 2000; Qiao </w:t>
            </w:r>
            <w:r w:rsidR="00C80659" w:rsidRPr="00C80659">
              <w:rPr>
                <w:rFonts w:ascii="Arial" w:hAnsi="Arial" w:cs="Arial"/>
                <w:i/>
                <w:sz w:val="20"/>
                <w:szCs w:val="20"/>
              </w:rPr>
              <w:t>et al</w:t>
            </w:r>
            <w:r w:rsidR="00C80659" w:rsidRPr="00C80659">
              <w:rPr>
                <w:rFonts w:ascii="Arial" w:hAnsi="Arial" w:cs="Arial"/>
                <w:sz w:val="20"/>
                <w:szCs w:val="20"/>
              </w:rPr>
              <w:t xml:space="preserve">., 2000, 2010; Gottlieb </w:t>
            </w:r>
            <w:r w:rsidR="00C80659" w:rsidRPr="00C80659">
              <w:rPr>
                <w:rFonts w:ascii="Arial" w:hAnsi="Arial" w:cs="Arial"/>
                <w:i/>
                <w:sz w:val="20"/>
                <w:szCs w:val="20"/>
              </w:rPr>
              <w:t>et al</w:t>
            </w:r>
            <w:r w:rsidR="00C80659" w:rsidRPr="00C80659">
              <w:rPr>
                <w:rFonts w:ascii="Arial" w:hAnsi="Arial" w:cs="Arial"/>
                <w:sz w:val="20"/>
                <w:szCs w:val="20"/>
              </w:rPr>
              <w:t xml:space="preserve">., 2002a,b; Mäntynen </w:t>
            </w:r>
            <w:r w:rsidR="00C80659" w:rsidRPr="00C80659">
              <w:rPr>
                <w:rFonts w:ascii="Arial" w:hAnsi="Arial" w:cs="Arial"/>
                <w:i/>
                <w:sz w:val="20"/>
                <w:szCs w:val="20"/>
              </w:rPr>
              <w:t>et al</w:t>
            </w:r>
            <w:r w:rsidR="00C80659" w:rsidRPr="00C80659">
              <w:rPr>
                <w:rFonts w:ascii="Arial" w:hAnsi="Arial" w:cs="Arial"/>
                <w:sz w:val="20"/>
                <w:szCs w:val="20"/>
              </w:rPr>
              <w:t xml:space="preserve">., 2015; Yang </w:t>
            </w:r>
            <w:r w:rsidR="00C80659" w:rsidRPr="00C80659">
              <w:rPr>
                <w:rFonts w:ascii="Arial" w:hAnsi="Arial" w:cs="Arial"/>
                <w:i/>
                <w:sz w:val="20"/>
                <w:szCs w:val="20"/>
              </w:rPr>
              <w:t>et al</w:t>
            </w:r>
            <w:r w:rsidR="00C80659" w:rsidRPr="00C80659">
              <w:rPr>
                <w:rFonts w:ascii="Arial" w:hAnsi="Arial" w:cs="Arial"/>
                <w:sz w:val="20"/>
                <w:szCs w:val="20"/>
              </w:rPr>
              <w:t>., 2016)</w:t>
            </w:r>
            <w:r w:rsidR="00AC4313" w:rsidRPr="00C8065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F015B70" w14:textId="77777777" w:rsidR="00B3773E" w:rsidRDefault="00B3773E" w:rsidP="006F47F9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221DDA4A" w14:textId="77777777" w:rsidR="00B3773E" w:rsidRDefault="00B3773E" w:rsidP="006F47F9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6E4C136F" w14:textId="77777777" w:rsidR="001E59C1" w:rsidRDefault="00844A1A" w:rsidP="006F47F9">
            <w:pPr>
              <w:jc w:val="both"/>
              <w:rPr>
                <w:rFonts w:ascii="Arial" w:hAnsi="Arial" w:cs="Arial"/>
                <w:sz w:val="20"/>
              </w:rPr>
            </w:pPr>
            <w:r w:rsidRPr="00844A1A">
              <w:rPr>
                <w:rFonts w:ascii="Arial" w:hAnsi="Arial" w:cs="Arial"/>
                <w:b/>
                <w:sz w:val="20"/>
              </w:rPr>
              <w:lastRenderedPageBreak/>
              <w:t>Species demarcation</w:t>
            </w:r>
            <w:r>
              <w:rPr>
                <w:rFonts w:ascii="Arial" w:hAnsi="Arial" w:cs="Arial"/>
                <w:sz w:val="20"/>
              </w:rPr>
              <w:t>: We have c</w:t>
            </w:r>
            <w:r w:rsidR="00B82C59">
              <w:rPr>
                <w:rFonts w:ascii="Arial" w:hAnsi="Arial" w:cs="Arial"/>
                <w:sz w:val="20"/>
              </w:rPr>
              <w:t>hosen 95</w:t>
            </w:r>
            <w:r w:rsidR="00FD509A">
              <w:rPr>
                <w:rFonts w:ascii="Arial" w:hAnsi="Arial" w:cs="Arial"/>
                <w:sz w:val="20"/>
              </w:rPr>
              <w:t>% R</w:t>
            </w:r>
            <w:r>
              <w:rPr>
                <w:rFonts w:ascii="Arial" w:hAnsi="Arial" w:cs="Arial"/>
                <w:sz w:val="20"/>
              </w:rPr>
              <w:t xml:space="preserve">NA sequence identity as the criterion for demarcation of species in the </w:t>
            </w:r>
            <w:r w:rsidRPr="00844A1A">
              <w:rPr>
                <w:rFonts w:ascii="Arial" w:hAnsi="Arial" w:cs="Arial"/>
                <w:i/>
                <w:sz w:val="20"/>
              </w:rPr>
              <w:t xml:space="preserve">Cystovirus </w:t>
            </w:r>
            <w:r>
              <w:rPr>
                <w:rFonts w:ascii="Arial" w:hAnsi="Arial" w:cs="Arial"/>
                <w:sz w:val="20"/>
              </w:rPr>
              <w:t xml:space="preserve">genus. </w:t>
            </w:r>
            <w:r w:rsidR="00FD509A">
              <w:rPr>
                <w:rFonts w:ascii="Arial" w:hAnsi="Arial" w:cs="Arial"/>
                <w:sz w:val="20"/>
              </w:rPr>
              <w:t>The member</w:t>
            </w:r>
            <w:r>
              <w:rPr>
                <w:rFonts w:ascii="Arial" w:hAnsi="Arial" w:cs="Arial"/>
                <w:sz w:val="20"/>
              </w:rPr>
              <w:t>s of each of the proposed species differ from those of other s</w:t>
            </w:r>
            <w:r w:rsidR="00B82C59">
              <w:rPr>
                <w:rFonts w:ascii="Arial" w:hAnsi="Arial" w:cs="Arial"/>
                <w:sz w:val="20"/>
              </w:rPr>
              <w:t>pecies by more than 5</w:t>
            </w:r>
            <w:r w:rsidR="00FD509A">
              <w:rPr>
                <w:rFonts w:ascii="Arial" w:hAnsi="Arial" w:cs="Arial"/>
                <w:sz w:val="20"/>
              </w:rPr>
              <w:t>% at the R</w:t>
            </w:r>
            <w:r>
              <w:rPr>
                <w:rFonts w:ascii="Arial" w:hAnsi="Arial" w:cs="Arial"/>
                <w:sz w:val="20"/>
              </w:rPr>
              <w:t>NA level as confirmed with the Clustal Omega Multiple Alignment</w:t>
            </w:r>
            <w:r w:rsidR="00597E20">
              <w:rPr>
                <w:rFonts w:ascii="Arial" w:hAnsi="Arial" w:cs="Arial"/>
                <w:sz w:val="20"/>
              </w:rPr>
              <w:t xml:space="preserve"> (Table 2</w:t>
            </w:r>
            <w:r w:rsidR="006F47F9">
              <w:rPr>
                <w:rFonts w:ascii="Arial" w:hAnsi="Arial" w:cs="Arial"/>
                <w:sz w:val="20"/>
              </w:rPr>
              <w:t>)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77927F42" w14:textId="77777777" w:rsidR="00FD509A" w:rsidRDefault="00FD509A" w:rsidP="006F47F9">
            <w:pPr>
              <w:jc w:val="both"/>
              <w:rPr>
                <w:rFonts w:ascii="Arial" w:hAnsi="Arial" w:cs="Arial"/>
                <w:sz w:val="20"/>
              </w:rPr>
            </w:pPr>
          </w:p>
          <w:p w14:paraId="4A290395" w14:textId="77777777" w:rsidR="00FD509A" w:rsidRDefault="00FD509A" w:rsidP="006F47F9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D509A">
              <w:rPr>
                <w:rFonts w:ascii="Arial" w:hAnsi="Arial" w:cs="Arial"/>
                <w:b/>
                <w:sz w:val="20"/>
              </w:rPr>
              <w:t>Reas</w:t>
            </w:r>
            <w:r>
              <w:rPr>
                <w:rFonts w:ascii="Arial" w:hAnsi="Arial" w:cs="Arial"/>
                <w:b/>
                <w:sz w:val="20"/>
              </w:rPr>
              <w:t xml:space="preserve">ons to justify the </w:t>
            </w:r>
            <w:r w:rsidRPr="00FD509A">
              <w:rPr>
                <w:rFonts w:ascii="Arial" w:hAnsi="Arial" w:cs="Arial"/>
                <w:b/>
                <w:sz w:val="20"/>
              </w:rPr>
              <w:t>assignment of the new species</w:t>
            </w:r>
            <w:r>
              <w:rPr>
                <w:rFonts w:ascii="Arial" w:hAnsi="Arial" w:cs="Arial"/>
                <w:b/>
                <w:sz w:val="20"/>
              </w:rPr>
              <w:t xml:space="preserve"> to the existing genus </w:t>
            </w:r>
            <w:r w:rsidRPr="00FD509A">
              <w:rPr>
                <w:rFonts w:ascii="Arial" w:hAnsi="Arial" w:cs="Arial"/>
                <w:b/>
                <w:i/>
                <w:sz w:val="20"/>
              </w:rPr>
              <w:t>Cystovirus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  <w:p w14:paraId="227B47AB" w14:textId="49F362DD" w:rsidR="00FD509A" w:rsidRPr="00B3773E" w:rsidRDefault="00FD509A" w:rsidP="00FD509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All six new isolates share similar genome and virion organizations</w:t>
            </w:r>
            <w:r w:rsidR="001A6701">
              <w:rPr>
                <w:rFonts w:ascii="Arial" w:hAnsi="Arial" w:cs="Arial"/>
                <w:sz w:val="20"/>
              </w:rPr>
              <w:t xml:space="preserve"> with Pseudomonas phage </w:t>
            </w:r>
            <w:r>
              <w:rPr>
                <w:rFonts w:ascii="Arial" w:hAnsi="Arial" w:cs="Arial"/>
                <w:sz w:val="20"/>
              </w:rPr>
              <w:t>phi6. The</w:t>
            </w:r>
            <w:r w:rsidR="00E16D3E">
              <w:rPr>
                <w:rFonts w:ascii="Arial" w:hAnsi="Arial" w:cs="Arial"/>
                <w:sz w:val="20"/>
              </w:rPr>
              <w:t>ir</w:t>
            </w:r>
            <w:r>
              <w:rPr>
                <w:rFonts w:ascii="Arial" w:hAnsi="Arial" w:cs="Arial"/>
                <w:sz w:val="20"/>
              </w:rPr>
              <w:t xml:space="preserve"> genome</w:t>
            </w:r>
            <w:r w:rsidR="00E16D3E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E16D3E">
              <w:rPr>
                <w:rFonts w:ascii="Arial" w:hAnsi="Arial" w:cs="Arial"/>
                <w:sz w:val="20"/>
              </w:rPr>
              <w:t>are</w:t>
            </w:r>
            <w:r>
              <w:rPr>
                <w:rFonts w:ascii="Arial" w:hAnsi="Arial" w:cs="Arial"/>
                <w:sz w:val="20"/>
              </w:rPr>
              <w:t xml:space="preserve"> composed of three linear dsRNA segments (S-, M- and L-segments) (Fig</w:t>
            </w:r>
            <w:r w:rsidR="00C80659">
              <w:rPr>
                <w:rFonts w:ascii="Arial" w:hAnsi="Arial" w:cs="Arial"/>
                <w:sz w:val="20"/>
              </w:rPr>
              <w:t>. 1</w:t>
            </w:r>
            <w:r>
              <w:rPr>
                <w:rFonts w:ascii="Arial" w:hAnsi="Arial" w:cs="Arial"/>
                <w:sz w:val="20"/>
              </w:rPr>
              <w:t>)</w:t>
            </w:r>
            <w:r w:rsidR="001A6701">
              <w:rPr>
                <w:rFonts w:ascii="Arial" w:hAnsi="Arial" w:cs="Arial"/>
                <w:sz w:val="20"/>
              </w:rPr>
              <w:t xml:space="preserve"> and s</w:t>
            </w:r>
            <w:r>
              <w:rPr>
                <w:rFonts w:ascii="Arial" w:hAnsi="Arial" w:cs="Arial"/>
                <w:sz w:val="20"/>
              </w:rPr>
              <w:t>imilar genes can be identified in similar order in each segment (Fig</w:t>
            </w:r>
            <w:r w:rsidR="00C80659">
              <w:rPr>
                <w:rFonts w:ascii="Arial" w:hAnsi="Arial" w:cs="Arial"/>
                <w:sz w:val="20"/>
              </w:rPr>
              <w:t>. 1</w:t>
            </w:r>
            <w:r>
              <w:rPr>
                <w:rFonts w:ascii="Arial" w:hAnsi="Arial" w:cs="Arial"/>
                <w:sz w:val="20"/>
              </w:rPr>
              <w:t xml:space="preserve">). The genome </w:t>
            </w:r>
            <w:r w:rsidR="00E16D3E">
              <w:rPr>
                <w:rFonts w:ascii="Arial" w:hAnsi="Arial" w:cs="Arial"/>
                <w:sz w:val="20"/>
              </w:rPr>
              <w:t>lengths</w:t>
            </w:r>
            <w:r w:rsidR="003144B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</w:t>
            </w:r>
            <w:r w:rsidR="00C80659">
              <w:rPr>
                <w:rFonts w:ascii="Arial" w:hAnsi="Arial" w:cs="Arial"/>
                <w:sz w:val="20"/>
              </w:rPr>
              <w:t>12.7 kb – 15.0 kb</w:t>
            </w:r>
            <w:r>
              <w:rPr>
                <w:rFonts w:ascii="Arial" w:hAnsi="Arial" w:cs="Arial"/>
                <w:sz w:val="20"/>
              </w:rPr>
              <w:t>) and GC contents (</w:t>
            </w:r>
            <w:r w:rsidR="00597E20">
              <w:rPr>
                <w:rFonts w:ascii="Arial" w:hAnsi="Arial" w:cs="Arial"/>
                <w:sz w:val="20"/>
              </w:rPr>
              <w:t>53.4–58.8</w:t>
            </w:r>
            <w:r w:rsidR="00C80659">
              <w:rPr>
                <w:rFonts w:ascii="Arial" w:hAnsi="Arial" w:cs="Arial"/>
                <w:sz w:val="20"/>
              </w:rPr>
              <w:t>%</w:t>
            </w:r>
            <w:r>
              <w:rPr>
                <w:rFonts w:ascii="Arial" w:hAnsi="Arial" w:cs="Arial"/>
                <w:sz w:val="20"/>
              </w:rPr>
              <w:t>) are also similar</w:t>
            </w:r>
            <w:r w:rsidR="000161E2">
              <w:rPr>
                <w:rFonts w:ascii="Arial" w:hAnsi="Arial" w:cs="Arial"/>
                <w:sz w:val="20"/>
              </w:rPr>
              <w:t xml:space="preserve"> (Table 1)</w:t>
            </w:r>
            <w:r>
              <w:rPr>
                <w:rFonts w:ascii="Arial" w:hAnsi="Arial" w:cs="Arial"/>
                <w:sz w:val="20"/>
              </w:rPr>
              <w:t>. Phylogenetic analyses were done separately for each genome segment</w:t>
            </w:r>
            <w:r w:rsidR="00881C86">
              <w:rPr>
                <w:rFonts w:ascii="Arial" w:hAnsi="Arial" w:cs="Arial"/>
                <w:sz w:val="20"/>
              </w:rPr>
              <w:t xml:space="preserve"> </w:t>
            </w:r>
            <w:r w:rsidR="001B74C9">
              <w:rPr>
                <w:rFonts w:ascii="Arial" w:hAnsi="Arial" w:cs="Arial"/>
                <w:sz w:val="20"/>
              </w:rPr>
              <w:t>using C</w:t>
            </w:r>
            <w:r w:rsidR="00881C86">
              <w:rPr>
                <w:rFonts w:ascii="Arial" w:hAnsi="Arial" w:cs="Arial"/>
                <w:sz w:val="20"/>
              </w:rPr>
              <w:t>lustal</w:t>
            </w:r>
            <w:r w:rsidR="001B74C9">
              <w:rPr>
                <w:rFonts w:ascii="Arial" w:hAnsi="Arial" w:cs="Arial"/>
                <w:sz w:val="20"/>
              </w:rPr>
              <w:t xml:space="preserve"> Omega Multiple Alignment</w:t>
            </w:r>
            <w:r w:rsidR="00597E20">
              <w:rPr>
                <w:rFonts w:ascii="Arial" w:hAnsi="Arial" w:cs="Arial"/>
                <w:sz w:val="20"/>
              </w:rPr>
              <w:t xml:space="preserve"> (Fig. 2)</w:t>
            </w:r>
            <w:r w:rsidR="00881C86">
              <w:rPr>
                <w:rFonts w:ascii="Arial" w:hAnsi="Arial" w:cs="Arial"/>
                <w:sz w:val="20"/>
              </w:rPr>
              <w:t xml:space="preserve"> and</w:t>
            </w:r>
            <w:r w:rsidR="001B74C9">
              <w:rPr>
                <w:rFonts w:ascii="Arial" w:hAnsi="Arial" w:cs="Arial"/>
                <w:sz w:val="20"/>
              </w:rPr>
              <w:t xml:space="preserve"> “One Click” at Phylogeny.fr (F</w:t>
            </w:r>
            <w:r w:rsidR="00881C86">
              <w:rPr>
                <w:rFonts w:ascii="Arial" w:hAnsi="Arial" w:cs="Arial"/>
                <w:sz w:val="20"/>
              </w:rPr>
              <w:t>ig</w:t>
            </w:r>
            <w:r w:rsidR="001B74C9">
              <w:rPr>
                <w:rFonts w:ascii="Arial" w:hAnsi="Arial" w:cs="Arial"/>
                <w:sz w:val="20"/>
              </w:rPr>
              <w:t>.</w:t>
            </w:r>
            <w:r w:rsidR="00881C86">
              <w:rPr>
                <w:rFonts w:ascii="Arial" w:hAnsi="Arial" w:cs="Arial"/>
                <w:sz w:val="20"/>
              </w:rPr>
              <w:t xml:space="preserve"> 3</w:t>
            </w:r>
            <w:r w:rsidR="001B74C9">
              <w:rPr>
                <w:rFonts w:ascii="Arial" w:hAnsi="Arial" w:cs="Arial"/>
                <w:sz w:val="20"/>
              </w:rPr>
              <w:t>)</w:t>
            </w:r>
            <w:r w:rsidR="00184377">
              <w:rPr>
                <w:rFonts w:ascii="Arial" w:hAnsi="Arial" w:cs="Arial"/>
                <w:sz w:val="20"/>
              </w:rPr>
              <w:t>.</w:t>
            </w:r>
            <w:r w:rsidR="001B74C9">
              <w:rPr>
                <w:rFonts w:ascii="Arial" w:hAnsi="Arial" w:cs="Arial"/>
                <w:sz w:val="20"/>
              </w:rPr>
              <w:t xml:space="preserve"> D</w:t>
            </w:r>
            <w:r w:rsidR="00881C86">
              <w:rPr>
                <w:rFonts w:ascii="Arial" w:hAnsi="Arial" w:cs="Arial"/>
                <w:sz w:val="20"/>
              </w:rPr>
              <w:t xml:space="preserve">ue to the size </w:t>
            </w:r>
            <w:r w:rsidR="001B74C9">
              <w:rPr>
                <w:rFonts w:ascii="Arial" w:hAnsi="Arial" w:cs="Arial"/>
                <w:sz w:val="20"/>
              </w:rPr>
              <w:t>of the L</w:t>
            </w:r>
            <w:r w:rsidR="00C57855">
              <w:rPr>
                <w:rFonts w:ascii="Arial" w:hAnsi="Arial" w:cs="Arial"/>
                <w:sz w:val="20"/>
              </w:rPr>
              <w:t>-</w:t>
            </w:r>
            <w:r w:rsidR="00881C86">
              <w:rPr>
                <w:rFonts w:ascii="Arial" w:hAnsi="Arial" w:cs="Arial"/>
                <w:sz w:val="20"/>
              </w:rPr>
              <w:t>segments</w:t>
            </w:r>
            <w:r w:rsidR="001B74C9">
              <w:rPr>
                <w:rFonts w:ascii="Arial" w:hAnsi="Arial" w:cs="Arial"/>
                <w:sz w:val="20"/>
              </w:rPr>
              <w:t xml:space="preserve"> (</w:t>
            </w:r>
            <w:r w:rsidR="00881C86">
              <w:rPr>
                <w:rFonts w:ascii="Arial" w:hAnsi="Arial" w:cs="Arial"/>
                <w:sz w:val="20"/>
              </w:rPr>
              <w:t>over 6000 bp</w:t>
            </w:r>
            <w:r w:rsidR="001B74C9">
              <w:rPr>
                <w:rFonts w:ascii="Arial" w:hAnsi="Arial" w:cs="Arial"/>
                <w:sz w:val="20"/>
              </w:rPr>
              <w:t>)</w:t>
            </w:r>
            <w:r w:rsidR="00C57855">
              <w:rPr>
                <w:rFonts w:ascii="Arial" w:hAnsi="Arial" w:cs="Arial"/>
                <w:sz w:val="20"/>
              </w:rPr>
              <w:t>,</w:t>
            </w:r>
            <w:r w:rsidR="00881C86">
              <w:rPr>
                <w:rFonts w:ascii="Arial" w:hAnsi="Arial" w:cs="Arial"/>
                <w:sz w:val="20"/>
              </w:rPr>
              <w:t xml:space="preserve"> the </w:t>
            </w:r>
            <w:r w:rsidR="001B74C9">
              <w:rPr>
                <w:rFonts w:ascii="Arial" w:hAnsi="Arial" w:cs="Arial"/>
                <w:sz w:val="20"/>
              </w:rPr>
              <w:t xml:space="preserve">phylogenetic </w:t>
            </w:r>
            <w:r w:rsidR="00881C86">
              <w:rPr>
                <w:rFonts w:ascii="Arial" w:hAnsi="Arial" w:cs="Arial"/>
                <w:sz w:val="20"/>
              </w:rPr>
              <w:t>analysis was done only for</w:t>
            </w:r>
            <w:r w:rsidR="001B74C9">
              <w:rPr>
                <w:rFonts w:ascii="Arial" w:hAnsi="Arial" w:cs="Arial"/>
                <w:sz w:val="20"/>
              </w:rPr>
              <w:t xml:space="preserve"> the S- and M-segments</w:t>
            </w:r>
            <w:r w:rsidR="00881C86">
              <w:rPr>
                <w:rFonts w:ascii="Arial" w:hAnsi="Arial" w:cs="Arial"/>
                <w:sz w:val="20"/>
              </w:rPr>
              <w:t xml:space="preserve"> </w:t>
            </w:r>
            <w:r w:rsidR="001B74C9">
              <w:rPr>
                <w:rFonts w:ascii="Arial" w:hAnsi="Arial" w:cs="Arial"/>
                <w:sz w:val="20"/>
              </w:rPr>
              <w:t>with “One Click”</w:t>
            </w:r>
            <w:r w:rsidR="00C57855">
              <w:rPr>
                <w:rFonts w:ascii="Arial" w:hAnsi="Arial" w:cs="Arial"/>
                <w:sz w:val="20"/>
              </w:rPr>
              <w:t xml:space="preserve"> (Dereeper </w:t>
            </w:r>
            <w:r w:rsidR="00C57855" w:rsidRPr="00C57855">
              <w:rPr>
                <w:rFonts w:ascii="Arial" w:hAnsi="Arial" w:cs="Arial"/>
                <w:i/>
                <w:sz w:val="20"/>
              </w:rPr>
              <w:t>et al</w:t>
            </w:r>
            <w:r w:rsidR="00C57855">
              <w:rPr>
                <w:rFonts w:ascii="Arial" w:hAnsi="Arial" w:cs="Arial"/>
                <w:sz w:val="20"/>
              </w:rPr>
              <w:t>., 2008)</w:t>
            </w:r>
            <w:r>
              <w:rPr>
                <w:rFonts w:ascii="Arial" w:hAnsi="Arial" w:cs="Arial"/>
                <w:sz w:val="20"/>
              </w:rPr>
              <w:t xml:space="preserve">. The clustering was different in each tree, suggesting that there has been reassortment of segments between </w:t>
            </w:r>
            <w:r w:rsidR="000161E2">
              <w:rPr>
                <w:rFonts w:ascii="Arial" w:hAnsi="Arial" w:cs="Arial"/>
                <w:sz w:val="20"/>
              </w:rPr>
              <w:t xml:space="preserve">members of the </w:t>
            </w:r>
            <w:r>
              <w:rPr>
                <w:rFonts w:ascii="Arial" w:hAnsi="Arial" w:cs="Arial"/>
                <w:sz w:val="20"/>
              </w:rPr>
              <w:t xml:space="preserve">proposed species. Also, exchange of </w:t>
            </w:r>
            <w:r w:rsidR="000161E2">
              <w:rPr>
                <w:rFonts w:ascii="Arial" w:hAnsi="Arial" w:cs="Arial"/>
                <w:sz w:val="20"/>
              </w:rPr>
              <w:t xml:space="preserve">genome </w:t>
            </w:r>
            <w:r>
              <w:rPr>
                <w:rFonts w:ascii="Arial" w:hAnsi="Arial" w:cs="Arial"/>
                <w:sz w:val="20"/>
              </w:rPr>
              <w:t xml:space="preserve">segments </w:t>
            </w:r>
            <w:r w:rsidR="000161E2">
              <w:rPr>
                <w:rFonts w:ascii="Arial" w:hAnsi="Arial" w:cs="Arial"/>
                <w:sz w:val="20"/>
              </w:rPr>
              <w:t xml:space="preserve">between the different isolates </w:t>
            </w:r>
            <w:r>
              <w:rPr>
                <w:rFonts w:ascii="Arial" w:hAnsi="Arial" w:cs="Arial"/>
                <w:sz w:val="20"/>
              </w:rPr>
              <w:t>has been experime</w:t>
            </w:r>
            <w:r w:rsidR="00C80659">
              <w:rPr>
                <w:rFonts w:ascii="Arial" w:hAnsi="Arial" w:cs="Arial"/>
                <w:sz w:val="20"/>
              </w:rPr>
              <w:t xml:space="preserve">ntally shown in a few cases (Mindich </w:t>
            </w:r>
            <w:r w:rsidR="00C80659" w:rsidRPr="00C80659">
              <w:rPr>
                <w:rFonts w:ascii="Arial" w:hAnsi="Arial" w:cs="Arial"/>
                <w:i/>
                <w:sz w:val="20"/>
              </w:rPr>
              <w:t>et al</w:t>
            </w:r>
            <w:r w:rsidR="00C80659">
              <w:rPr>
                <w:rFonts w:ascii="Arial" w:hAnsi="Arial" w:cs="Arial"/>
                <w:sz w:val="20"/>
              </w:rPr>
              <w:t xml:space="preserve">., 1999; Qiao </w:t>
            </w:r>
            <w:r w:rsidR="00C80659" w:rsidRPr="00C80659">
              <w:rPr>
                <w:rFonts w:ascii="Arial" w:hAnsi="Arial" w:cs="Arial"/>
                <w:i/>
                <w:sz w:val="20"/>
              </w:rPr>
              <w:t>et al</w:t>
            </w:r>
            <w:r w:rsidR="00C80659">
              <w:rPr>
                <w:rFonts w:ascii="Arial" w:hAnsi="Arial" w:cs="Arial"/>
                <w:sz w:val="20"/>
              </w:rPr>
              <w:t xml:space="preserve">., 2000; Qiao </w:t>
            </w:r>
            <w:r w:rsidR="00C80659" w:rsidRPr="00C80659">
              <w:rPr>
                <w:rFonts w:ascii="Arial" w:hAnsi="Arial" w:cs="Arial"/>
                <w:i/>
                <w:sz w:val="20"/>
              </w:rPr>
              <w:t>et al</w:t>
            </w:r>
            <w:r w:rsidR="00C80659">
              <w:rPr>
                <w:rFonts w:ascii="Arial" w:hAnsi="Arial" w:cs="Arial"/>
                <w:sz w:val="20"/>
              </w:rPr>
              <w:t>., 2010</w:t>
            </w:r>
            <w:r>
              <w:rPr>
                <w:rFonts w:ascii="Arial" w:hAnsi="Arial" w:cs="Arial"/>
                <w:sz w:val="20"/>
              </w:rPr>
              <w:t>).</w:t>
            </w:r>
          </w:p>
          <w:p w14:paraId="6E792B1B" w14:textId="77777777" w:rsidR="00FD509A" w:rsidRPr="00FD509A" w:rsidRDefault="00FD509A" w:rsidP="006F47F9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3977AFA8" w14:textId="06623D04" w:rsidR="000C609F" w:rsidRDefault="000C609F" w:rsidP="006F47F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virion organization of </w:t>
            </w:r>
            <w:r w:rsidR="00E16D3E">
              <w:rPr>
                <w:rFonts w:ascii="Arial" w:hAnsi="Arial" w:cs="Arial"/>
                <w:sz w:val="20"/>
              </w:rPr>
              <w:t xml:space="preserve">members of the </w:t>
            </w:r>
            <w:r>
              <w:rPr>
                <w:rFonts w:ascii="Arial" w:hAnsi="Arial" w:cs="Arial"/>
                <w:sz w:val="20"/>
              </w:rPr>
              <w:t xml:space="preserve">proposed species, if described, resembles that of </w:t>
            </w:r>
            <w:r w:rsidR="00E16D3E">
              <w:rPr>
                <w:rFonts w:ascii="Arial" w:hAnsi="Arial" w:cs="Arial"/>
                <w:sz w:val="20"/>
              </w:rPr>
              <w:t xml:space="preserve">members of </w:t>
            </w:r>
            <w:r>
              <w:rPr>
                <w:rFonts w:ascii="Arial" w:hAnsi="Arial" w:cs="Arial"/>
                <w:sz w:val="20"/>
              </w:rPr>
              <w:t>the type species</w:t>
            </w:r>
            <w:r w:rsidR="00F411CA">
              <w:rPr>
                <w:rFonts w:ascii="Arial" w:hAnsi="Arial" w:cs="Arial"/>
                <w:sz w:val="20"/>
              </w:rPr>
              <w:t xml:space="preserve"> </w:t>
            </w:r>
            <w:r w:rsidR="00F411CA" w:rsidRPr="00C57855">
              <w:rPr>
                <w:rFonts w:ascii="Arial" w:hAnsi="Arial" w:cs="Arial"/>
                <w:sz w:val="20"/>
              </w:rPr>
              <w:t xml:space="preserve">(Jäälinoja </w:t>
            </w:r>
            <w:r w:rsidR="00F411CA" w:rsidRPr="00C57855">
              <w:rPr>
                <w:rFonts w:ascii="Arial" w:hAnsi="Arial" w:cs="Arial"/>
                <w:i/>
                <w:sz w:val="20"/>
              </w:rPr>
              <w:t>et al</w:t>
            </w:r>
            <w:r w:rsidR="00F411CA" w:rsidRPr="00C57855">
              <w:rPr>
                <w:rFonts w:ascii="Arial" w:hAnsi="Arial" w:cs="Arial"/>
                <w:sz w:val="20"/>
              </w:rPr>
              <w:t xml:space="preserve">., 2007; Wei </w:t>
            </w:r>
            <w:r w:rsidR="00F411CA" w:rsidRPr="00C57855">
              <w:rPr>
                <w:rFonts w:ascii="Arial" w:hAnsi="Arial" w:cs="Arial"/>
                <w:i/>
                <w:sz w:val="20"/>
              </w:rPr>
              <w:t>et al</w:t>
            </w:r>
            <w:r w:rsidR="00F411CA" w:rsidRPr="00C57855">
              <w:rPr>
                <w:rFonts w:ascii="Arial" w:hAnsi="Arial" w:cs="Arial"/>
                <w:sz w:val="20"/>
              </w:rPr>
              <w:t>., 2009)</w:t>
            </w:r>
            <w:r w:rsidR="00C57855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E16D3E">
              <w:rPr>
                <w:rFonts w:ascii="Arial" w:hAnsi="Arial" w:cs="Arial"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>irions are enveloped and the</w:t>
            </w:r>
            <w:r w:rsidR="00E16D3E">
              <w:rPr>
                <w:rFonts w:ascii="Arial" w:hAnsi="Arial" w:cs="Arial"/>
                <w:sz w:val="20"/>
              </w:rPr>
              <w:t>ir</w:t>
            </w:r>
            <w:r>
              <w:rPr>
                <w:rFonts w:ascii="Arial" w:hAnsi="Arial" w:cs="Arial"/>
                <w:sz w:val="20"/>
              </w:rPr>
              <w:t xml:space="preserve"> genome</w:t>
            </w:r>
            <w:r w:rsidR="00E16D3E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E16D3E">
              <w:rPr>
                <w:rFonts w:ascii="Arial" w:hAnsi="Arial" w:cs="Arial"/>
                <w:sz w:val="20"/>
              </w:rPr>
              <w:t>are</w:t>
            </w:r>
            <w:r>
              <w:rPr>
                <w:rFonts w:ascii="Arial" w:hAnsi="Arial" w:cs="Arial"/>
                <w:sz w:val="20"/>
              </w:rPr>
              <w:t xml:space="preserve"> enclosed in</w:t>
            </w:r>
            <w:r w:rsidR="00E16D3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icosahedrally symmetric protein shells. </w:t>
            </w:r>
          </w:p>
          <w:p w14:paraId="3F9A9BD2" w14:textId="77777777" w:rsidR="000C609F" w:rsidRDefault="000C609F" w:rsidP="006F47F9">
            <w:pPr>
              <w:jc w:val="both"/>
              <w:rPr>
                <w:rFonts w:ascii="Arial" w:hAnsi="Arial" w:cs="Arial"/>
                <w:sz w:val="20"/>
              </w:rPr>
            </w:pPr>
          </w:p>
          <w:p w14:paraId="29588E53" w14:textId="77777777" w:rsidR="006F47F9" w:rsidRPr="00844A1A" w:rsidRDefault="006F47F9" w:rsidP="000C609F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8F59A39" w14:textId="77777777" w:rsidR="00991A82" w:rsidRDefault="00991A82" w:rsidP="00AC0E72">
      <w:pPr>
        <w:rPr>
          <w:lang w:val="en-GB"/>
        </w:rPr>
        <w:sectPr w:rsidR="00991A82" w:rsidSect="00991A82">
          <w:headerReference w:type="default" r:id="rId11"/>
          <w:footerReference w:type="default" r:id="rId12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012A865B" w14:textId="77777777" w:rsidR="008E736E" w:rsidRDefault="008E736E" w:rsidP="00AC0E72">
      <w:pPr>
        <w:rPr>
          <w:lang w:val="en-GB"/>
        </w:rPr>
      </w:pPr>
    </w:p>
    <w:p w14:paraId="5770F818" w14:textId="77777777" w:rsidR="00184377" w:rsidRDefault="00184377">
      <w:pPr>
        <w:rPr>
          <w:rFonts w:eastAsia="Times"/>
          <w:color w:val="000000"/>
          <w:sz w:val="22"/>
          <w:szCs w:val="22"/>
          <w:lang w:eastAsia="en-GB"/>
        </w:rPr>
      </w:pPr>
      <w:r>
        <w:rPr>
          <w:rFonts w:eastAsia="Times"/>
          <w:color w:val="000000"/>
          <w:sz w:val="22"/>
          <w:szCs w:val="22"/>
          <w:lang w:eastAsia="en-GB"/>
        </w:rPr>
        <w:br w:type="page"/>
      </w:r>
    </w:p>
    <w:tbl>
      <w:tblPr>
        <w:tblpPr w:leftFromText="141" w:rightFromText="141" w:vertAnchor="text" w:horzAnchor="margin" w:tblpY="715"/>
        <w:tblW w:w="947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1"/>
        <w:gridCol w:w="959"/>
        <w:gridCol w:w="1497"/>
        <w:gridCol w:w="1121"/>
        <w:gridCol w:w="1139"/>
        <w:gridCol w:w="717"/>
        <w:gridCol w:w="1134"/>
        <w:gridCol w:w="2382"/>
      </w:tblGrid>
      <w:tr w:rsidR="00184377" w:rsidRPr="00DD42A6" w14:paraId="7B78A30D" w14:textId="77777777" w:rsidTr="0001718F">
        <w:trPr>
          <w:trHeight w:val="330"/>
        </w:trPr>
        <w:tc>
          <w:tcPr>
            <w:tcW w:w="9470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EAA2EA" w14:textId="77777777" w:rsidR="00184377" w:rsidRDefault="00184377" w:rsidP="00184377">
            <w:pPr>
              <w:rPr>
                <w:b/>
                <w:bCs/>
                <w:color w:val="000000"/>
                <w:sz w:val="20"/>
                <w:szCs w:val="20"/>
                <w:lang w:eastAsia="fi-FI"/>
              </w:rPr>
            </w:pPr>
            <w:r w:rsidRPr="00534BDA">
              <w:rPr>
                <w:rFonts w:eastAsia="Arial Unicode MS" w:cs="Arial Unicode MS"/>
                <w:b/>
                <w:color w:val="000000"/>
                <w:sz w:val="20"/>
                <w:szCs w:val="20"/>
                <w:lang w:eastAsia="fi-FI"/>
              </w:rPr>
              <w:lastRenderedPageBreak/>
              <w:t>Table 1.</w:t>
            </w:r>
            <w:r w:rsidRPr="00854DCB"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  <w:t xml:space="preserve"> </w:t>
            </w:r>
            <w:r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  <w:t xml:space="preserve">Properties of the proposed members of the </w:t>
            </w:r>
            <w:r w:rsidRPr="00854DCB">
              <w:rPr>
                <w:rFonts w:eastAsia="Arial Unicode MS" w:cs="Arial Unicode MS"/>
                <w:i/>
                <w:color w:val="000000"/>
                <w:sz w:val="20"/>
                <w:szCs w:val="20"/>
                <w:lang w:eastAsia="fi-FI"/>
              </w:rPr>
              <w:t>Cystoviridae</w:t>
            </w:r>
            <w:r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  <w:t xml:space="preserve"> family.</w:t>
            </w:r>
          </w:p>
        </w:tc>
      </w:tr>
      <w:tr w:rsidR="00184377" w:rsidRPr="00DD42A6" w14:paraId="2CC7FABE" w14:textId="77777777" w:rsidTr="0001718F">
        <w:trPr>
          <w:trHeight w:val="330"/>
        </w:trPr>
        <w:tc>
          <w:tcPr>
            <w:tcW w:w="14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24D4" w14:textId="77777777" w:rsidR="00184377" w:rsidRPr="00FC15C7" w:rsidRDefault="00184377" w:rsidP="00184377">
            <w:pPr>
              <w:rPr>
                <w:b/>
                <w:bCs/>
                <w:color w:val="000000"/>
                <w:sz w:val="20"/>
                <w:szCs w:val="20"/>
                <w:lang w:eastAsia="fi-FI"/>
              </w:rPr>
            </w:pPr>
            <w:r w:rsidRPr="00A123DE">
              <w:rPr>
                <w:b/>
                <w:bCs/>
                <w:color w:val="000000"/>
                <w:sz w:val="20"/>
                <w:szCs w:val="20"/>
                <w:lang w:eastAsia="fi-FI"/>
              </w:rPr>
              <w:t xml:space="preserve">Pseudomonas </w:t>
            </w:r>
            <w:r w:rsidRPr="00FC15C7">
              <w:rPr>
                <w:b/>
                <w:bCs/>
                <w:color w:val="000000"/>
                <w:sz w:val="20"/>
                <w:szCs w:val="20"/>
                <w:lang w:eastAsia="fi-FI"/>
              </w:rPr>
              <w:t>phage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C3A3" w14:textId="77777777" w:rsidR="00184377" w:rsidRPr="00FC15C7" w:rsidRDefault="00184377" w:rsidP="0018437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fi-FI"/>
              </w:rPr>
            </w:pPr>
            <w:r w:rsidRPr="00FC15C7">
              <w:rPr>
                <w:b/>
                <w:bCs/>
                <w:color w:val="000000"/>
                <w:sz w:val="20"/>
                <w:szCs w:val="20"/>
                <w:lang w:eastAsia="fi-FI"/>
              </w:rPr>
              <w:t>RefSeq No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BF3043" w14:textId="77777777" w:rsidR="00184377" w:rsidRPr="002256A3" w:rsidRDefault="00184377" w:rsidP="00184377">
            <w:pPr>
              <w:rPr>
                <w:b/>
                <w:bCs/>
                <w:color w:val="000000"/>
                <w:sz w:val="20"/>
                <w:szCs w:val="20"/>
                <w:lang w:eastAsia="fi-FI"/>
              </w:rPr>
            </w:pPr>
            <w:r w:rsidRPr="002256A3">
              <w:rPr>
                <w:b/>
                <w:bCs/>
                <w:color w:val="000000"/>
                <w:sz w:val="20"/>
                <w:szCs w:val="20"/>
                <w:lang w:eastAsia="fi-FI"/>
              </w:rPr>
              <w:t>GenBank</w:t>
            </w:r>
            <w:r>
              <w:rPr>
                <w:b/>
                <w:bCs/>
                <w:color w:val="000000"/>
                <w:sz w:val="20"/>
                <w:szCs w:val="20"/>
                <w:lang w:eastAsia="fi-FI"/>
              </w:rPr>
              <w:t xml:space="preserve"> </w:t>
            </w:r>
          </w:p>
          <w:p w14:paraId="25AB5155" w14:textId="77777777" w:rsidR="00184377" w:rsidRPr="00FC15C7" w:rsidRDefault="00184377" w:rsidP="0018437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fi-FI"/>
              </w:rPr>
            </w:pPr>
            <w:r w:rsidRPr="002256A3">
              <w:rPr>
                <w:b/>
                <w:bCs/>
                <w:color w:val="000000"/>
                <w:sz w:val="20"/>
                <w:szCs w:val="20"/>
                <w:lang w:eastAsia="fi-FI"/>
              </w:rPr>
              <w:t>accession</w:t>
            </w:r>
            <w:r>
              <w:rPr>
                <w:b/>
                <w:bCs/>
                <w:color w:val="000000"/>
                <w:sz w:val="20"/>
                <w:szCs w:val="20"/>
                <w:lang w:eastAsia="fi-FI"/>
              </w:rPr>
              <w:t xml:space="preserve"> </w:t>
            </w:r>
            <w:r w:rsidRPr="002256A3">
              <w:rPr>
                <w:b/>
                <w:bCs/>
                <w:color w:val="000000"/>
                <w:sz w:val="20"/>
                <w:szCs w:val="20"/>
                <w:lang w:eastAsia="fi-FI"/>
              </w:rPr>
              <w:t>No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FF4C" w14:textId="77777777" w:rsidR="00184377" w:rsidRPr="00FC15C7" w:rsidRDefault="00184377" w:rsidP="0018437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fi-FI"/>
              </w:rPr>
            </w:pPr>
            <w:r w:rsidRPr="00FC15C7">
              <w:rPr>
                <w:b/>
                <w:bCs/>
                <w:color w:val="000000"/>
                <w:sz w:val="20"/>
                <w:szCs w:val="20"/>
                <w:lang w:eastAsia="fi-FI"/>
              </w:rPr>
              <w:t xml:space="preserve">Genome length </w:t>
            </w:r>
            <w:r>
              <w:rPr>
                <w:b/>
                <w:bCs/>
                <w:color w:val="000000"/>
                <w:sz w:val="20"/>
                <w:szCs w:val="20"/>
                <w:lang w:eastAsia="fi-FI"/>
              </w:rPr>
              <w:t xml:space="preserve">  </w:t>
            </w:r>
            <w:r w:rsidRPr="00FC15C7">
              <w:rPr>
                <w:b/>
                <w:bCs/>
                <w:color w:val="000000"/>
                <w:sz w:val="20"/>
                <w:szCs w:val="20"/>
                <w:lang w:eastAsia="fi-FI"/>
              </w:rPr>
              <w:t>(kb)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E325" w14:textId="77777777" w:rsidR="00184377" w:rsidRPr="00FC15C7" w:rsidRDefault="00184377" w:rsidP="0018437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fi-FI"/>
              </w:rPr>
            </w:pPr>
            <w:r w:rsidRPr="00FC15C7">
              <w:rPr>
                <w:b/>
                <w:bCs/>
                <w:color w:val="000000"/>
                <w:sz w:val="20"/>
                <w:szCs w:val="20"/>
                <w:lang w:eastAsia="fi-FI"/>
              </w:rPr>
              <w:t>GC%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E8CA" w14:textId="77777777" w:rsidR="00184377" w:rsidRDefault="00184377" w:rsidP="0018437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fi-FI"/>
              </w:rPr>
            </w:pPr>
            <w:r w:rsidRPr="00FC15C7">
              <w:rPr>
                <w:b/>
                <w:bCs/>
                <w:color w:val="000000"/>
                <w:sz w:val="20"/>
                <w:szCs w:val="20"/>
                <w:lang w:eastAsia="fi-FI"/>
              </w:rPr>
              <w:t>No. CDS</w:t>
            </w:r>
          </w:p>
          <w:p w14:paraId="40F2923B" w14:textId="77777777" w:rsidR="00184377" w:rsidRPr="00FC15C7" w:rsidRDefault="00184377" w:rsidP="0018437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fi-FI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fi-FI"/>
              </w:rPr>
              <w:t>(in positive strand)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BD39" w14:textId="77777777" w:rsidR="00184377" w:rsidRPr="00FC15C7" w:rsidRDefault="00184377" w:rsidP="0018437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fi-FI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fi-FI"/>
              </w:rPr>
              <w:t>% R</w:t>
            </w:r>
            <w:r w:rsidRPr="00FC15C7">
              <w:rPr>
                <w:b/>
                <w:bCs/>
                <w:color w:val="000000"/>
                <w:sz w:val="20"/>
                <w:szCs w:val="20"/>
                <w:lang w:eastAsia="fi-FI"/>
              </w:rPr>
              <w:t xml:space="preserve">NA </w:t>
            </w:r>
            <w:r>
              <w:rPr>
                <w:b/>
                <w:bCs/>
                <w:color w:val="000000"/>
                <w:sz w:val="20"/>
                <w:szCs w:val="20"/>
                <w:lang w:eastAsia="fi-FI"/>
              </w:rPr>
              <w:t>s</w:t>
            </w:r>
            <w:r w:rsidRPr="00FC15C7">
              <w:rPr>
                <w:b/>
                <w:bCs/>
                <w:color w:val="000000"/>
                <w:sz w:val="20"/>
                <w:szCs w:val="20"/>
                <w:lang w:eastAsia="fi-FI"/>
              </w:rPr>
              <w:t xml:space="preserve">equence </w:t>
            </w:r>
            <w:r>
              <w:rPr>
                <w:b/>
                <w:bCs/>
                <w:color w:val="000000"/>
                <w:sz w:val="20"/>
                <w:szCs w:val="20"/>
                <w:lang w:eastAsia="fi-FI"/>
              </w:rPr>
              <w:t>similarity to the type species</w:t>
            </w:r>
            <w:r w:rsidRPr="00FC15C7">
              <w:rPr>
                <w:b/>
                <w:bCs/>
                <w:color w:val="000000"/>
                <w:sz w:val="20"/>
                <w:szCs w:val="20"/>
                <w:lang w:eastAsia="fi-FI"/>
              </w:rPr>
              <w:t>*</w:t>
            </w:r>
          </w:p>
        </w:tc>
      </w:tr>
      <w:tr w:rsidR="00184377" w:rsidRPr="00A5466A" w14:paraId="29E025B8" w14:textId="77777777" w:rsidTr="0001718F">
        <w:trPr>
          <w:trHeight w:val="330"/>
        </w:trPr>
        <w:tc>
          <w:tcPr>
            <w:tcW w:w="14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05FF" w14:textId="77777777" w:rsidR="00184377" w:rsidRPr="00F262F3" w:rsidRDefault="000F5D25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 xml:space="preserve">Pseudomonas phage </w:t>
            </w:r>
            <w:r w:rsidR="00184377" w:rsidRPr="00F262F3">
              <w:rPr>
                <w:color w:val="000000"/>
                <w:sz w:val="20"/>
                <w:szCs w:val="20"/>
                <w:lang w:eastAsia="fi-FI"/>
              </w:rPr>
              <w:t>phi6</w:t>
            </w:r>
            <w:r w:rsidR="00184377">
              <w:rPr>
                <w:color w:val="000000"/>
                <w:sz w:val="20"/>
                <w:szCs w:val="20"/>
                <w:lang w:eastAsia="fi-FI"/>
              </w:rPr>
              <w:t xml:space="preserve"> (</w:t>
            </w:r>
            <w:r>
              <w:rPr>
                <w:color w:val="000000"/>
                <w:sz w:val="20"/>
                <w:szCs w:val="20"/>
                <w:lang w:eastAsia="fi-FI"/>
              </w:rPr>
              <w:t xml:space="preserve">member of the </w:t>
            </w:r>
            <w:r w:rsidR="00184377">
              <w:rPr>
                <w:color w:val="000000"/>
                <w:sz w:val="20"/>
                <w:szCs w:val="20"/>
                <w:lang w:eastAsia="fi-FI"/>
              </w:rPr>
              <w:t>type species)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B93D" w14:textId="77777777" w:rsidR="00184377" w:rsidRPr="00A5466A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>
              <w:rPr>
                <w:rFonts w:cs="Arial"/>
                <w:sz w:val="20"/>
                <w:szCs w:val="20"/>
              </w:rPr>
              <w:t>NC_003715; NC_003716</w:t>
            </w:r>
            <w:r w:rsidRPr="00A5466A">
              <w:rPr>
                <w:rFonts w:cs="Arial"/>
                <w:sz w:val="20"/>
                <w:szCs w:val="20"/>
              </w:rPr>
              <w:t xml:space="preserve">; </w:t>
            </w:r>
            <w:r>
              <w:rPr>
                <w:rFonts w:cs="Arial"/>
                <w:sz w:val="20"/>
                <w:szCs w:val="20"/>
              </w:rPr>
              <w:t>NC_003714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C3C70" w14:textId="77777777" w:rsidR="00184377" w:rsidRPr="00371E05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 w:rsidRPr="00371E05">
              <w:rPr>
                <w:color w:val="000000"/>
                <w:sz w:val="20"/>
                <w:szCs w:val="20"/>
              </w:rPr>
              <w:t>M17461; M17462; M12921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8860" w14:textId="77777777" w:rsidR="00184377" w:rsidRPr="00A5466A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A5466A">
              <w:rPr>
                <w:color w:val="000000"/>
                <w:sz w:val="20"/>
                <w:szCs w:val="20"/>
                <w:lang w:eastAsia="fi-FI"/>
              </w:rPr>
              <w:t>13.4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B61A" w14:textId="77777777" w:rsidR="00184377" w:rsidRPr="00A5466A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A5466A">
              <w:rPr>
                <w:color w:val="000000"/>
                <w:sz w:val="20"/>
                <w:szCs w:val="20"/>
                <w:lang w:eastAsia="fi-FI"/>
              </w:rPr>
              <w:t>55.8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B427" w14:textId="77777777" w:rsidR="00184377" w:rsidRPr="00A5466A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A5466A">
              <w:rPr>
                <w:color w:val="000000"/>
                <w:sz w:val="20"/>
                <w:szCs w:val="20"/>
                <w:lang w:eastAsia="fi-FI"/>
              </w:rPr>
              <w:t>13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F231" w14:textId="77777777" w:rsidR="00184377" w:rsidRPr="00A5466A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 w:rsidRPr="00A5466A">
              <w:rPr>
                <w:color w:val="000000"/>
                <w:sz w:val="20"/>
                <w:szCs w:val="20"/>
                <w:lang w:eastAsia="fi-FI"/>
              </w:rPr>
              <w:t>100</w:t>
            </w:r>
          </w:p>
        </w:tc>
      </w:tr>
      <w:tr w:rsidR="00184377" w:rsidRPr="00DD42A6" w14:paraId="0F1E682F" w14:textId="77777777" w:rsidTr="0001718F">
        <w:trPr>
          <w:trHeight w:val="315"/>
        </w:trPr>
        <w:tc>
          <w:tcPr>
            <w:tcW w:w="14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13BBE5" w14:textId="77777777" w:rsidR="00184377" w:rsidRPr="00A5466A" w:rsidRDefault="000F5D25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 xml:space="preserve">Pseudomonas phage </w:t>
            </w:r>
            <w:r w:rsidR="00184377" w:rsidRPr="00A5466A">
              <w:rPr>
                <w:color w:val="000000"/>
                <w:sz w:val="20"/>
                <w:szCs w:val="20"/>
                <w:lang w:eastAsia="fi-FI"/>
              </w:rPr>
              <w:t>phi8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BEE92" w14:textId="77777777" w:rsidR="00184377" w:rsidRPr="00A5466A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 w:rsidRPr="00A5466A">
              <w:rPr>
                <w:color w:val="000000"/>
                <w:sz w:val="20"/>
                <w:szCs w:val="20"/>
                <w:lang w:eastAsia="fi-FI"/>
              </w:rPr>
              <w:t>NC_003299; NC_003300; NC_003301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C4197" w14:textId="77777777" w:rsidR="00184377" w:rsidRPr="00371E05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 w:rsidRPr="00371E05">
              <w:rPr>
                <w:color w:val="000000"/>
                <w:sz w:val="20"/>
                <w:szCs w:val="20"/>
              </w:rPr>
              <w:t>AF226851; AF226852; AF226853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CFCB8" w14:textId="77777777" w:rsidR="00184377" w:rsidRPr="00A5466A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A5466A">
              <w:rPr>
                <w:color w:val="000000"/>
                <w:sz w:val="20"/>
                <w:szCs w:val="20"/>
                <w:lang w:eastAsia="fi-FI"/>
              </w:rPr>
              <w:t>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807E5" w14:textId="77777777" w:rsidR="00184377" w:rsidRPr="00A5466A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A5466A">
              <w:rPr>
                <w:color w:val="000000"/>
                <w:sz w:val="20"/>
                <w:szCs w:val="20"/>
                <w:lang w:eastAsia="fi-FI"/>
              </w:rPr>
              <w:t>54.5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3A8FE" w14:textId="77777777" w:rsidR="00184377" w:rsidRPr="00A5466A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A5466A">
              <w:rPr>
                <w:color w:val="000000"/>
                <w:sz w:val="20"/>
                <w:szCs w:val="20"/>
                <w:lang w:eastAsia="fi-FI"/>
              </w:rPr>
              <w:t>19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6F914" w14:textId="77777777" w:rsidR="00184377" w:rsidRPr="00F262F3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>42.4,  44.0, and 44.0</w:t>
            </w:r>
            <w:r w:rsidRPr="00F262F3">
              <w:rPr>
                <w:color w:val="000000"/>
                <w:sz w:val="20"/>
                <w:szCs w:val="20"/>
                <w:lang w:eastAsia="fi-FI"/>
              </w:rPr>
              <w:t xml:space="preserve"> for L, M and S segments</w:t>
            </w:r>
          </w:p>
        </w:tc>
      </w:tr>
      <w:tr w:rsidR="00184377" w:rsidRPr="00DD42A6" w14:paraId="0FFE1CFF" w14:textId="77777777" w:rsidTr="0001718F">
        <w:trPr>
          <w:trHeight w:val="315"/>
        </w:trPr>
        <w:tc>
          <w:tcPr>
            <w:tcW w:w="14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F867A" w14:textId="77777777" w:rsidR="00184377" w:rsidRPr="002F474C" w:rsidRDefault="000F5D25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 xml:space="preserve">Pseudomonas phage </w:t>
            </w:r>
            <w:r w:rsidR="00184377" w:rsidRPr="002F474C">
              <w:rPr>
                <w:color w:val="000000"/>
                <w:sz w:val="20"/>
                <w:szCs w:val="20"/>
                <w:lang w:eastAsia="fi-FI"/>
              </w:rPr>
              <w:t>phi12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C106" w14:textId="77777777" w:rsidR="00184377" w:rsidRPr="002F474C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 w:rsidRPr="002F474C">
              <w:rPr>
                <w:color w:val="000000"/>
                <w:sz w:val="20"/>
                <w:szCs w:val="20"/>
                <w:lang w:eastAsia="fi-FI"/>
              </w:rPr>
              <w:t>NC_004173; NC_004175</w:t>
            </w:r>
            <w:r>
              <w:rPr>
                <w:color w:val="000000"/>
                <w:sz w:val="20"/>
                <w:szCs w:val="20"/>
                <w:lang w:eastAsia="fi-FI"/>
              </w:rPr>
              <w:t xml:space="preserve">: </w:t>
            </w:r>
            <w:r w:rsidRPr="002F474C">
              <w:rPr>
                <w:color w:val="000000"/>
                <w:sz w:val="20"/>
                <w:szCs w:val="20"/>
                <w:lang w:eastAsia="fi-FI"/>
              </w:rPr>
              <w:t>NC_004174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7E0B0" w14:textId="77777777" w:rsidR="00184377" w:rsidRPr="00371E05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 w:rsidRPr="00371E05">
              <w:rPr>
                <w:color w:val="000000"/>
                <w:sz w:val="20"/>
                <w:szCs w:val="20"/>
              </w:rPr>
              <w:t>AF408636; AY039807; AY034425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B428" w14:textId="77777777" w:rsidR="00184377" w:rsidRPr="002F474C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2F474C">
              <w:rPr>
                <w:color w:val="000000"/>
                <w:sz w:val="20"/>
                <w:szCs w:val="20"/>
                <w:lang w:eastAsia="fi-FI"/>
              </w:rPr>
              <w:t>13.</w:t>
            </w:r>
            <w:r>
              <w:rPr>
                <w:color w:val="000000"/>
                <w:sz w:val="20"/>
                <w:szCs w:val="20"/>
                <w:lang w:eastAsia="fi-FI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0B84" w14:textId="77777777" w:rsidR="00184377" w:rsidRPr="002F474C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2F474C">
              <w:rPr>
                <w:color w:val="000000"/>
                <w:sz w:val="20"/>
                <w:szCs w:val="20"/>
                <w:lang w:eastAsia="fi-FI"/>
              </w:rPr>
              <w:t>55.2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AE81" w14:textId="77777777" w:rsidR="00184377" w:rsidRPr="002F474C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2F474C">
              <w:rPr>
                <w:color w:val="000000"/>
                <w:sz w:val="20"/>
                <w:szCs w:val="20"/>
                <w:lang w:eastAsia="fi-FI"/>
              </w:rPr>
              <w:t>15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65E7" w14:textId="77777777" w:rsidR="00184377" w:rsidRPr="00F262F3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>43.8, 45.7 and 42.9</w:t>
            </w:r>
            <w:r w:rsidRPr="00F262F3">
              <w:rPr>
                <w:color w:val="000000"/>
                <w:sz w:val="20"/>
                <w:szCs w:val="20"/>
                <w:lang w:eastAsia="fi-FI"/>
              </w:rPr>
              <w:t xml:space="preserve"> for L, M and S segments</w:t>
            </w:r>
          </w:p>
        </w:tc>
      </w:tr>
      <w:tr w:rsidR="00184377" w:rsidRPr="00DD42A6" w14:paraId="27BF282D" w14:textId="77777777" w:rsidTr="0001718F">
        <w:trPr>
          <w:trHeight w:val="330"/>
        </w:trPr>
        <w:tc>
          <w:tcPr>
            <w:tcW w:w="14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2074" w14:textId="77777777" w:rsidR="00184377" w:rsidRPr="002F474C" w:rsidRDefault="000F5D25" w:rsidP="00184377">
            <w:pPr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 xml:space="preserve">Pseudomonas phage </w:t>
            </w:r>
            <w:r w:rsidR="00184377" w:rsidRPr="002F474C"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  <w:t>phi13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D65D" w14:textId="77777777" w:rsidR="00184377" w:rsidRPr="00F262F3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 w:rsidRPr="0013286B">
              <w:rPr>
                <w:color w:val="000000"/>
                <w:sz w:val="20"/>
                <w:szCs w:val="20"/>
                <w:lang w:eastAsia="fi-FI"/>
              </w:rPr>
              <w:t>NC_004172</w:t>
            </w:r>
            <w:r w:rsidRPr="002F474C">
              <w:rPr>
                <w:color w:val="000000"/>
                <w:sz w:val="20"/>
                <w:szCs w:val="20"/>
                <w:lang w:eastAsia="fi-FI"/>
              </w:rPr>
              <w:t>; NC_0041</w:t>
            </w:r>
            <w:r w:rsidRPr="0013286B">
              <w:rPr>
                <w:color w:val="000000"/>
                <w:sz w:val="20"/>
                <w:szCs w:val="20"/>
                <w:lang w:eastAsia="fi-FI"/>
              </w:rPr>
              <w:t>71</w:t>
            </w:r>
            <w:r>
              <w:rPr>
                <w:color w:val="000000"/>
                <w:sz w:val="20"/>
                <w:szCs w:val="20"/>
                <w:lang w:eastAsia="fi-FI"/>
              </w:rPr>
              <w:t>;</w:t>
            </w:r>
            <w:r w:rsidRPr="002F474C">
              <w:rPr>
                <w:color w:val="000000"/>
                <w:sz w:val="20"/>
                <w:szCs w:val="20"/>
                <w:lang w:eastAsia="fi-FI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fi-FI"/>
              </w:rPr>
              <w:t>NC_004170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14678E" w14:textId="77777777" w:rsidR="00184377" w:rsidRPr="00371E05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 w:rsidRPr="00371E05">
              <w:rPr>
                <w:color w:val="000000"/>
                <w:sz w:val="20"/>
                <w:szCs w:val="20"/>
              </w:rPr>
              <w:t>AF261668; AF261667; AF261666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8E27" w14:textId="77777777" w:rsidR="00184377" w:rsidRPr="00F262F3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F262F3">
              <w:rPr>
                <w:color w:val="000000"/>
                <w:sz w:val="20"/>
                <w:szCs w:val="20"/>
                <w:lang w:eastAsia="fi-FI"/>
              </w:rPr>
              <w:t>13.7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204B" w14:textId="77777777" w:rsidR="00184377" w:rsidRPr="00F262F3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F262F3">
              <w:rPr>
                <w:color w:val="000000"/>
                <w:sz w:val="20"/>
                <w:szCs w:val="20"/>
                <w:lang w:eastAsia="fi-FI"/>
              </w:rPr>
              <w:t>57.7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CAF2" w14:textId="77777777" w:rsidR="00184377" w:rsidRPr="00F262F3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F262F3">
              <w:rPr>
                <w:color w:val="000000"/>
                <w:sz w:val="20"/>
                <w:szCs w:val="20"/>
                <w:lang w:eastAsia="fi-FI"/>
              </w:rPr>
              <w:t>13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5666" w14:textId="77777777" w:rsidR="00184377" w:rsidRPr="00F262F3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>50.0, 45.6 and 44.5</w:t>
            </w:r>
            <w:r w:rsidRPr="00F262F3">
              <w:rPr>
                <w:color w:val="000000"/>
                <w:sz w:val="20"/>
                <w:szCs w:val="20"/>
                <w:lang w:eastAsia="fi-FI"/>
              </w:rPr>
              <w:t xml:space="preserve"> for L, M and S segments</w:t>
            </w:r>
          </w:p>
        </w:tc>
      </w:tr>
      <w:tr w:rsidR="00184377" w:rsidRPr="00DD42A6" w14:paraId="212AAF45" w14:textId="77777777" w:rsidTr="0001718F">
        <w:trPr>
          <w:trHeight w:val="330"/>
        </w:trPr>
        <w:tc>
          <w:tcPr>
            <w:tcW w:w="14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04C3" w14:textId="77777777" w:rsidR="00184377" w:rsidRPr="00DD7053" w:rsidRDefault="000F5D25" w:rsidP="00184377">
            <w:pPr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 xml:space="preserve">Pseudomonas phage </w:t>
            </w:r>
            <w:r w:rsidR="00184377" w:rsidRPr="00DD7053"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  <w:t>phi2954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A973" w14:textId="77777777" w:rsidR="00184377" w:rsidRPr="00DD7053" w:rsidRDefault="00184377" w:rsidP="00184377">
            <w:pPr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</w:pPr>
            <w:r w:rsidRPr="00DD7053"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  <w:t>NC_012091; NC_012092; NC_012093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2556F2" w14:textId="77777777" w:rsidR="00184377" w:rsidRPr="00371E05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 w:rsidRPr="00371E05">
              <w:rPr>
                <w:color w:val="000000"/>
                <w:sz w:val="20"/>
                <w:szCs w:val="20"/>
              </w:rPr>
              <w:t>FJ608823; FJ608824; FJ608825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8EA2" w14:textId="77777777" w:rsidR="00184377" w:rsidRPr="00DD7053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DD7053">
              <w:rPr>
                <w:color w:val="000000"/>
                <w:sz w:val="20"/>
                <w:szCs w:val="20"/>
                <w:lang w:eastAsia="fi-FI"/>
              </w:rPr>
              <w:t>12.7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AC0E" w14:textId="77777777" w:rsidR="00184377" w:rsidRPr="00DD7053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DD7053">
              <w:rPr>
                <w:color w:val="000000"/>
                <w:sz w:val="20"/>
                <w:szCs w:val="20"/>
                <w:lang w:eastAsia="fi-FI"/>
              </w:rPr>
              <w:t>53.4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4856" w14:textId="77777777" w:rsidR="00184377" w:rsidRPr="00DD7053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DD7053">
              <w:rPr>
                <w:color w:val="000000"/>
                <w:sz w:val="20"/>
                <w:szCs w:val="20"/>
                <w:lang w:eastAsia="fi-FI"/>
              </w:rPr>
              <w:t>14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EE60" w14:textId="77777777" w:rsidR="00184377" w:rsidRPr="00F262F3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>44.9, 44.2 and 43.6</w:t>
            </w:r>
            <w:r w:rsidRPr="00F262F3">
              <w:rPr>
                <w:color w:val="000000"/>
                <w:sz w:val="20"/>
                <w:szCs w:val="20"/>
                <w:lang w:eastAsia="fi-FI"/>
              </w:rPr>
              <w:t xml:space="preserve"> for L, M and S segments</w:t>
            </w:r>
          </w:p>
        </w:tc>
      </w:tr>
      <w:tr w:rsidR="00184377" w:rsidRPr="00DD42A6" w14:paraId="09A46118" w14:textId="77777777" w:rsidTr="0001718F">
        <w:trPr>
          <w:trHeight w:val="315"/>
        </w:trPr>
        <w:tc>
          <w:tcPr>
            <w:tcW w:w="14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AE19" w14:textId="77777777" w:rsidR="00184377" w:rsidRPr="00DD7053" w:rsidRDefault="000F5D25" w:rsidP="00184377">
            <w:pPr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 xml:space="preserve">Pseudomonas phage </w:t>
            </w:r>
            <w:r w:rsidR="00184377" w:rsidRPr="00DD7053"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  <w:t>phiNN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DF295" w14:textId="77777777" w:rsidR="00184377" w:rsidRPr="00DD7053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047ED" w14:textId="77777777" w:rsidR="00184377" w:rsidRPr="00371E05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 w:rsidRPr="00371E05">
              <w:rPr>
                <w:color w:val="000000"/>
                <w:sz w:val="20"/>
                <w:szCs w:val="20"/>
              </w:rPr>
              <w:t>KJ957164; KJ957165; KJ957166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0413" w14:textId="77777777" w:rsidR="00184377" w:rsidRPr="00DD7053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DD7053">
              <w:rPr>
                <w:color w:val="000000"/>
                <w:sz w:val="20"/>
                <w:szCs w:val="20"/>
                <w:lang w:eastAsia="fi-FI"/>
              </w:rPr>
              <w:t>13.3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107D" w14:textId="77777777" w:rsidR="00184377" w:rsidRPr="00DD7053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DD7053">
              <w:rPr>
                <w:color w:val="000000"/>
                <w:sz w:val="20"/>
                <w:szCs w:val="20"/>
                <w:lang w:eastAsia="fi-FI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5F1C" w14:textId="77777777" w:rsidR="00184377" w:rsidRPr="00DD7053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DD7053">
              <w:rPr>
                <w:color w:val="000000"/>
                <w:sz w:val="20"/>
                <w:szCs w:val="20"/>
                <w:lang w:eastAsia="fi-FI"/>
              </w:rPr>
              <w:t>13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6486" w14:textId="77777777" w:rsidR="00184377" w:rsidRPr="00F262F3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>78.7, 52.1 and 82.8</w:t>
            </w:r>
            <w:r w:rsidRPr="00F262F3">
              <w:rPr>
                <w:color w:val="000000"/>
                <w:sz w:val="20"/>
                <w:szCs w:val="20"/>
                <w:lang w:eastAsia="fi-FI"/>
              </w:rPr>
              <w:t xml:space="preserve"> for L, M and S segments</w:t>
            </w:r>
          </w:p>
        </w:tc>
      </w:tr>
      <w:tr w:rsidR="00184377" w:rsidRPr="00DD42A6" w14:paraId="63B602C9" w14:textId="77777777" w:rsidTr="0001718F">
        <w:trPr>
          <w:trHeight w:val="345"/>
        </w:trPr>
        <w:tc>
          <w:tcPr>
            <w:tcW w:w="14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854D" w14:textId="77777777" w:rsidR="00184377" w:rsidRPr="00F262F3" w:rsidRDefault="000F5D25" w:rsidP="00184377">
            <w:pPr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 xml:space="preserve">Pseudomonas phage </w:t>
            </w:r>
            <w:r w:rsidR="00184377" w:rsidRPr="00F262F3"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  <w:t>phiYY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F9B90" w14:textId="77777777" w:rsidR="00184377" w:rsidRPr="00F262F3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9DFACD2" w14:textId="77777777" w:rsidR="00184377" w:rsidRPr="00371E05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 w:rsidRPr="00371E05">
              <w:rPr>
                <w:color w:val="000000"/>
                <w:sz w:val="20"/>
                <w:szCs w:val="20"/>
              </w:rPr>
              <w:t>KX074201; KX074202; KX074203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C609" w14:textId="77777777" w:rsidR="00184377" w:rsidRPr="00F262F3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 w:rsidRPr="00F262F3">
              <w:rPr>
                <w:color w:val="000000"/>
                <w:sz w:val="20"/>
                <w:szCs w:val="20"/>
                <w:lang w:eastAsia="fi-FI"/>
              </w:rPr>
              <w:t>13.5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27A0" w14:textId="77777777" w:rsidR="00184377" w:rsidRPr="00F262F3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>58.8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1598" w14:textId="77777777" w:rsidR="00184377" w:rsidRPr="00F262F3" w:rsidRDefault="00184377" w:rsidP="00184377">
            <w:pPr>
              <w:jc w:val="center"/>
              <w:rPr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>14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3458" w14:textId="77777777" w:rsidR="00184377" w:rsidRPr="002F474C" w:rsidRDefault="00184377" w:rsidP="00184377">
            <w:pPr>
              <w:rPr>
                <w:color w:val="000000"/>
                <w:sz w:val="20"/>
                <w:szCs w:val="20"/>
                <w:lang w:eastAsia="fi-FI"/>
              </w:rPr>
            </w:pPr>
            <w:r>
              <w:rPr>
                <w:color w:val="000000"/>
                <w:sz w:val="20"/>
                <w:szCs w:val="20"/>
                <w:lang w:eastAsia="fi-FI"/>
              </w:rPr>
              <w:t>50.1, 43.7 and 43.2</w:t>
            </w:r>
            <w:r w:rsidRPr="00F262F3">
              <w:rPr>
                <w:color w:val="000000"/>
                <w:sz w:val="20"/>
                <w:szCs w:val="20"/>
                <w:lang w:eastAsia="fi-FI"/>
              </w:rPr>
              <w:t xml:space="preserve"> for L, M and S segments</w:t>
            </w:r>
          </w:p>
        </w:tc>
      </w:tr>
      <w:tr w:rsidR="00184377" w:rsidRPr="00DD42A6" w14:paraId="3BA3A044" w14:textId="77777777" w:rsidTr="0001718F">
        <w:trPr>
          <w:trHeight w:val="330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14:paraId="5895CBBC" w14:textId="77777777" w:rsidR="00184377" w:rsidRPr="00F262F3" w:rsidRDefault="00184377" w:rsidP="00184377">
            <w:pPr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89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C8A9" w14:textId="77777777" w:rsidR="00184377" w:rsidRDefault="00184377" w:rsidP="00184377">
            <w:pPr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</w:pPr>
            <w:r w:rsidRPr="00F262F3"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  <w:t>*Determined using EMBOSS Needle Pairwise Sequence Alignment</w:t>
            </w:r>
          </w:p>
          <w:p w14:paraId="29DFBB4F" w14:textId="77777777" w:rsidR="00184377" w:rsidRDefault="00184377" w:rsidP="00184377">
            <w:pPr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</w:pPr>
          </w:p>
          <w:p w14:paraId="07219D38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2F9926D1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2172DF9E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4EF97302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52BDFFEC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5E0FE5A9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22EA77F0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1807E91D" w14:textId="77777777" w:rsidR="00371E05" w:rsidRDefault="00371E05" w:rsidP="00184377">
            <w:pPr>
              <w:rPr>
                <w:b/>
                <w:sz w:val="20"/>
                <w:szCs w:val="20"/>
              </w:rPr>
            </w:pPr>
          </w:p>
          <w:p w14:paraId="0286B67C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05136853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5495F140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1754FE75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32B28D5F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06E63834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4906C954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24667C53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0ABC49B5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74645827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4896C13C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5A7FF862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7A689C6B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1A45A664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7D0D04FE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77858D17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59829F45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0324F3E9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3BADDCF4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18025609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2CAB5623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44143F67" w14:textId="77777777" w:rsidR="00184377" w:rsidRDefault="00184377" w:rsidP="00184377">
            <w:pPr>
              <w:rPr>
                <w:sz w:val="20"/>
                <w:szCs w:val="20"/>
              </w:rPr>
            </w:pPr>
            <w:r w:rsidRPr="00FB03DF">
              <w:rPr>
                <w:b/>
                <w:sz w:val="20"/>
                <w:szCs w:val="20"/>
              </w:rPr>
              <w:lastRenderedPageBreak/>
              <w:t xml:space="preserve">Table 2. </w:t>
            </w:r>
            <w:r w:rsidRPr="00FB03DF">
              <w:rPr>
                <w:sz w:val="20"/>
                <w:szCs w:val="20"/>
              </w:rPr>
              <w:t xml:space="preserve">Nucleotide sequence similarities (%) between the genome segments, determined using Clustal Omega Multiple Alignment. Color code: &gt;95 % = red, &gt;75 % = green, &gt;50 % = yellow. </w:t>
            </w:r>
          </w:p>
          <w:p w14:paraId="57D11F38" w14:textId="77777777" w:rsidR="00184377" w:rsidRDefault="00184377" w:rsidP="00184377">
            <w:pPr>
              <w:rPr>
                <w:sz w:val="20"/>
                <w:szCs w:val="20"/>
              </w:rPr>
            </w:pPr>
          </w:p>
          <w:tbl>
            <w:tblPr>
              <w:tblW w:w="603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680"/>
              <w:gridCol w:w="681"/>
              <w:gridCol w:w="696"/>
              <w:gridCol w:w="696"/>
              <w:gridCol w:w="810"/>
              <w:gridCol w:w="734"/>
              <w:gridCol w:w="770"/>
            </w:tblGrid>
            <w:tr w:rsidR="00184377" w:rsidRPr="00DD42A6" w14:paraId="121F0DB9" w14:textId="77777777" w:rsidTr="0041238F">
              <w:trPr>
                <w:trHeight w:val="330"/>
              </w:trPr>
              <w:tc>
                <w:tcPr>
                  <w:tcW w:w="6031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CA78828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  <w:lang w:eastAsia="fi-FI"/>
                    </w:rPr>
                    <w:t>Nucleotide sequence similarities (%) between the L-segments</w:t>
                  </w:r>
                </w:p>
              </w:tc>
            </w:tr>
            <w:tr w:rsidR="00184377" w:rsidRPr="00534BDA" w14:paraId="178639B0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5E259B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Phage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D59C60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phi6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DCEC62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655FD1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phi12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19A433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phi13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BD191B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phi2954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79262F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phiNN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BA98D7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phiYY</w:t>
                  </w:r>
                </w:p>
              </w:tc>
            </w:tr>
            <w:tr w:rsidR="00184377" w:rsidRPr="00534BDA" w14:paraId="062DE3AF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5FD6A7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phi6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5EBA839B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57C154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38.47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A07C33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36.42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C96B59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48.84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27FF5E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36.01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B050"/>
                  <w:noWrap/>
                  <w:vAlign w:val="bottom"/>
                  <w:hideMark/>
                </w:tcPr>
                <w:p w14:paraId="537C57F1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79.46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46AB7E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48.46</w:t>
                  </w:r>
                </w:p>
              </w:tc>
            </w:tr>
            <w:tr w:rsidR="00184377" w:rsidRPr="00534BDA" w14:paraId="0B3EC4CC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845B0F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phi8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A627EA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38.47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62561133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DEBF86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35.8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664407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38.96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4CC444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34.82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24B21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38.51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D91672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</w:t>
                  </w:r>
                </w:p>
              </w:tc>
            </w:tr>
            <w:tr w:rsidR="00184377" w:rsidRPr="00534BDA" w14:paraId="5340B0F8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106E20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phi12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5D74F3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36.42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5C7860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35.8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0582F383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4AD01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35.98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132DAC9F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51.13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441E83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36.07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535DC3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35.48</w:t>
                  </w:r>
                </w:p>
              </w:tc>
            </w:tr>
            <w:tr w:rsidR="00184377" w:rsidRPr="00534BDA" w14:paraId="6AC3815A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D1FD99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phi13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FACFD1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48.84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035ADF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38.96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C1DD9A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35.98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2D5F2674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52EAE3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34.9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09C987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48.62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60850952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62.93</w:t>
                  </w:r>
                </w:p>
              </w:tc>
            </w:tr>
            <w:tr w:rsidR="00184377" w:rsidRPr="00534BDA" w14:paraId="5FA8982C" w14:textId="77777777" w:rsidTr="0041238F">
              <w:trPr>
                <w:trHeight w:val="330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464F7B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phi2954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641034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36.01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CE71A9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34.82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70EB20E8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51.13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5A4D2F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2E4FC2F1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F65A3D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35.74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0A2F6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34.76</w:t>
                  </w:r>
                </w:p>
              </w:tc>
            </w:tr>
            <w:tr w:rsidR="00184377" w:rsidRPr="00534BDA" w14:paraId="7284FBC4" w14:textId="77777777" w:rsidTr="0041238F">
              <w:trPr>
                <w:trHeight w:val="330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E2C3E6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phiNN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B050"/>
                  <w:noWrap/>
                  <w:vAlign w:val="bottom"/>
                  <w:hideMark/>
                </w:tcPr>
                <w:p w14:paraId="53822851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79.46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519C7E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38.51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ED6B49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36.07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399D5F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48.62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714C9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35.74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13C5439B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BF49F5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47.84</w:t>
                  </w:r>
                </w:p>
              </w:tc>
            </w:tr>
            <w:tr w:rsidR="00184377" w:rsidRPr="00534BDA" w14:paraId="5E10B3E7" w14:textId="77777777" w:rsidTr="0041238F">
              <w:trPr>
                <w:trHeight w:val="330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B7E25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phiYY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E339AB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48.46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282213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AFFB48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35.48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5947E4D4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62.93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22739B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34.76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B9CBEF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47.84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0CD18CBC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</w:tr>
            <w:tr w:rsidR="00184377" w:rsidRPr="00DD42A6" w14:paraId="4771BAD1" w14:textId="77777777" w:rsidTr="0041238F">
              <w:trPr>
                <w:trHeight w:val="330"/>
              </w:trPr>
              <w:tc>
                <w:tcPr>
                  <w:tcW w:w="6031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D29A2E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  <w:lang w:eastAsia="fi-FI"/>
                    </w:rPr>
                    <w:t xml:space="preserve">Nucleotide sequence similarities (%) between the </w:t>
                  </w: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  <w:lang w:eastAsia="fi-FI"/>
                    </w:rPr>
                    <w:t>M-segments</w:t>
                  </w:r>
                </w:p>
              </w:tc>
            </w:tr>
            <w:tr w:rsidR="00184377" w:rsidRPr="00534BDA" w14:paraId="2A52BD93" w14:textId="77777777" w:rsidTr="0041238F">
              <w:trPr>
                <w:trHeight w:val="330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18B12D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51EF9A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phi6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61C248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672E1B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phi12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6095A7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phi13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5A0B52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phi2954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7138F5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phiNN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A2E5B2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phiYY</w:t>
                  </w:r>
                </w:p>
              </w:tc>
            </w:tr>
            <w:tr w:rsidR="00184377" w:rsidRPr="00534BDA" w14:paraId="52B37C14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3F770F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phi6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74C75F4D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9FF98C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38.17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352AFA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38.99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BE9EB9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40.34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DBFA40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39.2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061C10F7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51.18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3918B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35.34</w:t>
                  </w:r>
                </w:p>
              </w:tc>
            </w:tr>
            <w:tr w:rsidR="00184377" w:rsidRPr="00534BDA" w14:paraId="5753096C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ABEB66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phi8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72839E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38.17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04301CE5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D11E29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38.47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EE1BD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39.75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A6D725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38.75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9864DC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36.48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620B2A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35.91</w:t>
                  </w:r>
                </w:p>
              </w:tc>
            </w:tr>
            <w:tr w:rsidR="00184377" w:rsidRPr="00534BDA" w14:paraId="7096DD86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9D52CC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phi12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7E186D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38.99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7BEFE7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38.47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0EAF56C0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779FB174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61.26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67A7B3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37.46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9961E8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39.15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4DDFFE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38.32</w:t>
                  </w:r>
                </w:p>
              </w:tc>
            </w:tr>
            <w:tr w:rsidR="00184377" w:rsidRPr="00534BDA" w14:paraId="33218ADF" w14:textId="77777777" w:rsidTr="0041238F">
              <w:trPr>
                <w:trHeight w:val="330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BD5E1B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phi13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D0188A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40.34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4A1ABC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39.75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28F06568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61.26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296F08B8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AE4EB1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37.5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0D9997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40.66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CA2606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39.43</w:t>
                  </w:r>
                </w:p>
              </w:tc>
            </w:tr>
            <w:tr w:rsidR="00184377" w:rsidRPr="00534BDA" w14:paraId="6ABB249D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D96CEC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phi2954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346064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39.2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2C12E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38.75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99EE49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37.46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572190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00AF7040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72000B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37.32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789A0F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34.89</w:t>
                  </w:r>
                </w:p>
              </w:tc>
            </w:tr>
            <w:tr w:rsidR="00184377" w:rsidRPr="00534BDA" w14:paraId="2008C093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787BD8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phiNN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3133DB05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51.18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662895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36.48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2FA6D5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39.15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2016E4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40.66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1AF6AD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37.32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6D76407C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94B5A1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37.25</w:t>
                  </w:r>
                </w:p>
              </w:tc>
            </w:tr>
            <w:tr w:rsidR="00184377" w:rsidRPr="00534BDA" w14:paraId="76B5960A" w14:textId="77777777" w:rsidTr="0041238F">
              <w:trPr>
                <w:trHeight w:val="330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D08E37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phiYY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EC7A0A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35.34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12DC52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35.91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9B3E63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38.32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B51489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39.43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E1AAEF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34.89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73A29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37.25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3C2F1E99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</w:tr>
            <w:tr w:rsidR="00184377" w:rsidRPr="00DD42A6" w14:paraId="454564EF" w14:textId="77777777" w:rsidTr="0041238F">
              <w:trPr>
                <w:trHeight w:val="330"/>
              </w:trPr>
              <w:tc>
                <w:tcPr>
                  <w:tcW w:w="6031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4A0242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  <w:lang w:eastAsia="fi-FI"/>
                    </w:rPr>
                  </w:pPr>
                  <w:r w:rsidRPr="00534BDA"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  <w:lang w:eastAsia="fi-FI"/>
                    </w:rPr>
                    <w:t>Nucleotide sequence similarities (%) between the S-segments</w:t>
                  </w:r>
                </w:p>
              </w:tc>
            </w:tr>
            <w:tr w:rsidR="00184377" w:rsidRPr="00A42543" w14:paraId="7F8BA5FF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3DFF31" w14:textId="77777777" w:rsidR="00184377" w:rsidRPr="00534BDA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73B086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phi6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47E796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8C3658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phi12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0D8112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phi13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1D64BD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phi2954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AE47ED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phiNN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0A41D1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phiYY</w:t>
                  </w:r>
                </w:p>
              </w:tc>
            </w:tr>
            <w:tr w:rsidR="00184377" w:rsidRPr="00A42543" w14:paraId="7488FF72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6C14E2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phi6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6C69F5A5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01A916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38.41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C08B6F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34.74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1DE05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40.48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9F1E3E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37.39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B050"/>
                  <w:noWrap/>
                  <w:vAlign w:val="bottom"/>
                  <w:hideMark/>
                </w:tcPr>
                <w:p w14:paraId="4457DB62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83.42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8148B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40.79</w:t>
                  </w:r>
                </w:p>
              </w:tc>
            </w:tr>
            <w:tr w:rsidR="00184377" w:rsidRPr="00A42543" w14:paraId="3ABFAFA0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BCA86F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phi8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967314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38.41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7CC9AE6A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3504C7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33.3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053243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37.13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662AB9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34.02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1FB1D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8B3D69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37.11</w:t>
                  </w:r>
                </w:p>
              </w:tc>
            </w:tr>
            <w:tr w:rsidR="00184377" w:rsidRPr="00A42543" w14:paraId="1141C878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155BA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phi12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02C126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34.74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B89CF4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33.3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6B6A27C9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85407B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33.22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078F45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46.43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1002B7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33.48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44E63E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38.57</w:t>
                  </w:r>
                </w:p>
              </w:tc>
            </w:tr>
            <w:tr w:rsidR="00184377" w:rsidRPr="00A42543" w14:paraId="034C0C5E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B46575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phi13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A50661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40.48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29F05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37.13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CB25E3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33.22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6979293D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2FF6B5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34.45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185DAA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40.23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CE096B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37.1</w:t>
                  </w:r>
                </w:p>
              </w:tc>
            </w:tr>
            <w:tr w:rsidR="00184377" w:rsidRPr="00A42543" w14:paraId="055493BF" w14:textId="77777777" w:rsidTr="0041238F">
              <w:trPr>
                <w:trHeight w:val="330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8311FF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phi2954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561EAF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37.39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E3EF25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34.02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A5AE5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46.43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5DF828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34.45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0005DEC4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3FBC92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36.41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323629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41.64</w:t>
                  </w:r>
                </w:p>
              </w:tc>
            </w:tr>
            <w:tr w:rsidR="00184377" w:rsidRPr="00A42543" w14:paraId="657D8ABC" w14:textId="77777777" w:rsidTr="0041238F">
              <w:trPr>
                <w:trHeight w:val="31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B4B97E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phiNN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B050"/>
                  <w:noWrap/>
                  <w:vAlign w:val="bottom"/>
                  <w:hideMark/>
                </w:tcPr>
                <w:p w14:paraId="683CC59A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83.42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7592F0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92F3E6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33.48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A3C25B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40.23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63E403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36.41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1F2F47D2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E2F929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40.18</w:t>
                  </w:r>
                </w:p>
              </w:tc>
            </w:tr>
            <w:tr w:rsidR="00184377" w:rsidRPr="00A42543" w14:paraId="0C7B7906" w14:textId="77777777" w:rsidTr="0041238F">
              <w:trPr>
                <w:trHeight w:val="345"/>
              </w:trPr>
              <w:tc>
                <w:tcPr>
                  <w:tcW w:w="9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403D6B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fi-FI"/>
                    </w:rPr>
                    <w:t>phiYY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80F3A8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40.79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10604D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4B55DE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38.57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2A1511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37.1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770AD7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41.64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78F87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40.18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14:paraId="697A1B70" w14:textId="77777777" w:rsidR="00184377" w:rsidRPr="00A42543" w:rsidRDefault="00184377" w:rsidP="00252FC9">
                  <w:pPr>
                    <w:framePr w:hSpace="141" w:wrap="around" w:vAnchor="text" w:hAnchor="margin" w:y="715"/>
                    <w:jc w:val="center"/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</w:pPr>
                  <w:r w:rsidRPr="00A42543">
                    <w:rPr>
                      <w:rFonts w:ascii="Calibri" w:hAnsi="Calibri"/>
                      <w:color w:val="000000"/>
                      <w:sz w:val="20"/>
                      <w:szCs w:val="20"/>
                      <w:lang w:eastAsia="fi-FI"/>
                    </w:rPr>
                    <w:t>100</w:t>
                  </w:r>
                </w:p>
              </w:tc>
            </w:tr>
          </w:tbl>
          <w:p w14:paraId="77DE8CC7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2FCBB7F0" w14:textId="77777777" w:rsidR="00184377" w:rsidRPr="002F7CFE" w:rsidRDefault="00184377" w:rsidP="00184377">
            <w:pPr>
              <w:rPr>
                <w:sz w:val="20"/>
                <w:szCs w:val="20"/>
              </w:rPr>
            </w:pPr>
          </w:p>
          <w:p w14:paraId="355C3F97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2F004FAF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39FDBF85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56A92E14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33598A29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0D161905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23CA8B4B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2C4E71BF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586E7A63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215A052E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158567B1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39E7AAB2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078C4DC0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2C8F857C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1900AB82" w14:textId="77777777" w:rsidR="00184377" w:rsidRPr="00FB03DF" w:rsidRDefault="00184377" w:rsidP="0018437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w:lastRenderedPageBreak/>
              <w:drawing>
                <wp:inline distT="0" distB="0" distL="0" distR="0" wp14:anchorId="0122FAAE" wp14:editId="35F78641">
                  <wp:extent cx="5702220" cy="7599872"/>
                  <wp:effectExtent l="0" t="0" r="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gmentMaps_CystovirusesFinal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5004" cy="7603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C05C50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73A24AD7" w14:textId="77777777" w:rsidR="00184377" w:rsidRDefault="00184377" w:rsidP="00184377">
            <w:pPr>
              <w:rPr>
                <w:sz w:val="20"/>
                <w:szCs w:val="20"/>
              </w:rPr>
            </w:pPr>
            <w:r w:rsidRPr="00CD4D5C">
              <w:rPr>
                <w:b/>
                <w:sz w:val="20"/>
                <w:szCs w:val="20"/>
              </w:rPr>
              <w:t>Fig. 1</w:t>
            </w:r>
            <w:r w:rsidRPr="00CD4D5C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Genome maps of the </w:t>
            </w:r>
            <w:r w:rsidRPr="00CD4D5C">
              <w:rPr>
                <w:sz w:val="20"/>
                <w:szCs w:val="20"/>
              </w:rPr>
              <w:t>segments</w:t>
            </w:r>
            <w:r>
              <w:rPr>
                <w:sz w:val="20"/>
                <w:szCs w:val="20"/>
              </w:rPr>
              <w:t xml:space="preserve"> S (A), M (B) and L (C)</w:t>
            </w:r>
            <w:r w:rsidRPr="00CD4D5C">
              <w:rPr>
                <w:sz w:val="20"/>
                <w:szCs w:val="20"/>
              </w:rPr>
              <w:t xml:space="preserve"> of the proposed members of the </w:t>
            </w:r>
            <w:r w:rsidRPr="00CD4D5C">
              <w:rPr>
                <w:i/>
                <w:sz w:val="20"/>
                <w:szCs w:val="20"/>
              </w:rPr>
              <w:t>Cystoviridae</w:t>
            </w:r>
            <w:r w:rsidRPr="00CD4D5C">
              <w:rPr>
                <w:sz w:val="20"/>
                <w:szCs w:val="20"/>
              </w:rPr>
              <w:t>. Open reading frames</w:t>
            </w:r>
            <w:r>
              <w:rPr>
                <w:sz w:val="20"/>
                <w:szCs w:val="20"/>
              </w:rPr>
              <w:t xml:space="preserve"> (ORFs)</w:t>
            </w:r>
            <w:r w:rsidRPr="00CD4D5C">
              <w:rPr>
                <w:sz w:val="20"/>
                <w:szCs w:val="20"/>
              </w:rPr>
              <w:t xml:space="preserve"> of the predicted positive strands are depicted and amino acid sequence similarities (%) between corresponding ORFs are indicated.</w:t>
            </w:r>
            <w:r>
              <w:rPr>
                <w:sz w:val="20"/>
                <w:szCs w:val="20"/>
              </w:rPr>
              <w:t xml:space="preserve"> </w:t>
            </w:r>
            <w:r w:rsidRPr="00CD4D5C">
              <w:rPr>
                <w:sz w:val="20"/>
                <w:szCs w:val="20"/>
              </w:rPr>
              <w:t>Comparisons were conducted with EMBOSS Needl</w:t>
            </w:r>
            <w:r>
              <w:rPr>
                <w:sz w:val="20"/>
                <w:szCs w:val="20"/>
              </w:rPr>
              <w:t>e Pairwise Sequence Alignment</w:t>
            </w:r>
            <w:r w:rsidRPr="00CD4D5C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The order of the genome segments follows the clustering in the phylogenetic trees presented in Fig. 2. </w:t>
            </w:r>
          </w:p>
          <w:p w14:paraId="341E1BE2" w14:textId="77777777" w:rsidR="00184377" w:rsidRDefault="00184377" w:rsidP="00184377">
            <w:pPr>
              <w:rPr>
                <w:sz w:val="32"/>
                <w:szCs w:val="32"/>
              </w:rPr>
            </w:pPr>
          </w:p>
          <w:p w14:paraId="022077A9" w14:textId="77777777" w:rsidR="00184377" w:rsidRDefault="00184377" w:rsidP="00184377">
            <w:pPr>
              <w:rPr>
                <w:sz w:val="32"/>
                <w:szCs w:val="32"/>
              </w:rPr>
            </w:pPr>
          </w:p>
          <w:p w14:paraId="329B379B" w14:textId="77777777" w:rsidR="00184377" w:rsidRPr="008D44E1" w:rsidRDefault="00184377" w:rsidP="00184377">
            <w:pPr>
              <w:rPr>
                <w:sz w:val="32"/>
                <w:szCs w:val="32"/>
              </w:rPr>
            </w:pPr>
            <w:r w:rsidRPr="008D44E1">
              <w:rPr>
                <w:sz w:val="32"/>
                <w:szCs w:val="32"/>
              </w:rPr>
              <w:lastRenderedPageBreak/>
              <w:t>A</w:t>
            </w:r>
            <w:r>
              <w:rPr>
                <w:sz w:val="32"/>
                <w:szCs w:val="32"/>
              </w:rPr>
              <w:t xml:space="preserve">                                                                 B                                         </w:t>
            </w:r>
          </w:p>
          <w:p w14:paraId="07B10B68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2E0F53F2" w14:textId="77777777" w:rsidR="00184377" w:rsidRDefault="00184377" w:rsidP="00184377">
            <w:pPr>
              <w:rPr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3E6496C" wp14:editId="649BA96C">
                  <wp:extent cx="2159635" cy="215963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_Segments_Tree_Clustalnew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635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i-FI"/>
              </w:rPr>
              <w:t xml:space="preserve">                        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42BF715F" wp14:editId="456D1AE2">
                  <wp:extent cx="2159635" cy="215963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_Segments_Tree_Clustalnew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635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14497A" w14:textId="77777777" w:rsidR="00184377" w:rsidRDefault="00184377" w:rsidP="00184377">
            <w:pPr>
              <w:rPr>
                <w:b/>
                <w:sz w:val="20"/>
                <w:szCs w:val="20"/>
              </w:rPr>
            </w:pPr>
          </w:p>
          <w:p w14:paraId="2E5389A4" w14:textId="77777777" w:rsidR="00184377" w:rsidRDefault="00184377" w:rsidP="00184377">
            <w:pPr>
              <w:rPr>
                <w:sz w:val="32"/>
                <w:szCs w:val="32"/>
              </w:rPr>
            </w:pPr>
            <w:r w:rsidRPr="008D44E1">
              <w:rPr>
                <w:sz w:val="32"/>
                <w:szCs w:val="32"/>
              </w:rPr>
              <w:t>C</w:t>
            </w:r>
          </w:p>
          <w:p w14:paraId="55D41485" w14:textId="77777777" w:rsidR="00184377" w:rsidRPr="008D44E1" w:rsidRDefault="00184377" w:rsidP="00184377">
            <w:pPr>
              <w:rPr>
                <w:sz w:val="32"/>
                <w:szCs w:val="32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5AD33FC" wp14:editId="60B002E4">
                  <wp:extent cx="2160000" cy="216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_Segments_Tree_Clustalnew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241825" w14:textId="77777777" w:rsidR="00184377" w:rsidRDefault="00184377" w:rsidP="00184377">
            <w:pPr>
              <w:rPr>
                <w:sz w:val="20"/>
                <w:szCs w:val="20"/>
              </w:rPr>
            </w:pPr>
            <w:r w:rsidRPr="00FB03DF">
              <w:rPr>
                <w:b/>
                <w:sz w:val="20"/>
                <w:szCs w:val="20"/>
              </w:rPr>
              <w:t>Fig. 2.</w:t>
            </w:r>
            <w:r w:rsidRPr="00FB03DF">
              <w:rPr>
                <w:sz w:val="20"/>
                <w:szCs w:val="20"/>
              </w:rPr>
              <w:t xml:space="preserve"> Phylogenetic tree</w:t>
            </w:r>
            <w:r>
              <w:rPr>
                <w:sz w:val="20"/>
                <w:szCs w:val="20"/>
              </w:rPr>
              <w:t>s showing relations</w:t>
            </w:r>
            <w:r w:rsidRPr="00FB03DF">
              <w:rPr>
                <w:sz w:val="20"/>
                <w:szCs w:val="20"/>
              </w:rPr>
              <w:t xml:space="preserve">hips </w:t>
            </w:r>
            <w:r>
              <w:rPr>
                <w:sz w:val="20"/>
                <w:szCs w:val="20"/>
              </w:rPr>
              <w:t xml:space="preserve">between proposed members of the </w:t>
            </w:r>
            <w:r w:rsidRPr="00FB03DF">
              <w:rPr>
                <w:i/>
                <w:sz w:val="20"/>
                <w:szCs w:val="20"/>
              </w:rPr>
              <w:t>Cystoviridae</w:t>
            </w:r>
            <w:r w:rsidRPr="00B93297">
              <w:rPr>
                <w:sz w:val="20"/>
                <w:szCs w:val="20"/>
              </w:rPr>
              <w:t xml:space="preserve"> based on </w:t>
            </w:r>
            <w:r w:rsidRPr="00237DB8">
              <w:rPr>
                <w:sz w:val="20"/>
                <w:szCs w:val="20"/>
              </w:rPr>
              <w:t xml:space="preserve">nucleotide sequence comparisons of </w:t>
            </w:r>
            <w:r>
              <w:rPr>
                <w:sz w:val="20"/>
                <w:szCs w:val="20"/>
              </w:rPr>
              <w:t xml:space="preserve">the segments S (A), </w:t>
            </w:r>
            <w:r w:rsidRPr="00237DB8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 (B) and L (C),</w:t>
            </w:r>
            <w:r w:rsidRPr="00B93297">
              <w:rPr>
                <w:b/>
                <w:sz w:val="20"/>
                <w:szCs w:val="20"/>
              </w:rPr>
              <w:t xml:space="preserve"> </w:t>
            </w:r>
            <w:r w:rsidRPr="00B93297">
              <w:rPr>
                <w:sz w:val="20"/>
                <w:szCs w:val="20"/>
              </w:rPr>
              <w:t>constructed using Clustal Omega Multiple Alignment</w:t>
            </w:r>
            <w:r w:rsidRPr="00B93297">
              <w:rPr>
                <w:b/>
                <w:sz w:val="20"/>
                <w:szCs w:val="20"/>
              </w:rPr>
              <w:t>.</w:t>
            </w:r>
            <w:r w:rsidRPr="00B93297">
              <w:rPr>
                <w:sz w:val="20"/>
                <w:szCs w:val="20"/>
              </w:rPr>
              <w:t xml:space="preserve"> </w:t>
            </w:r>
          </w:p>
          <w:p w14:paraId="37BF1783" w14:textId="77777777" w:rsidR="00184377" w:rsidRPr="0039328E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38F5CEC9" w14:textId="77777777" w:rsidR="00184377" w:rsidRPr="0039328E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490AD8D3" w14:textId="77777777" w:rsidR="00184377" w:rsidRPr="0039328E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402CEE65" w14:textId="77777777" w:rsidR="00184377" w:rsidRPr="0039328E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16C26712" w14:textId="77777777" w:rsidR="00184377" w:rsidRPr="0039328E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3AF8D0DE" w14:textId="77777777" w:rsidR="00184377" w:rsidRPr="0039328E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76719861" w14:textId="77777777" w:rsidR="00184377" w:rsidRPr="0039328E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7EEFC93B" w14:textId="77777777" w:rsidR="00184377" w:rsidRPr="0039328E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5007D059" w14:textId="77777777" w:rsidR="00184377" w:rsidRPr="0039328E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56D0C02C" w14:textId="77777777" w:rsidR="00184377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216929A9" w14:textId="77777777" w:rsidR="00184377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5A6FEB6B" w14:textId="77777777" w:rsidR="00184377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12A75C76" w14:textId="77777777" w:rsidR="00184377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3992E69F" w14:textId="77777777" w:rsidR="00184377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</w:p>
          <w:p w14:paraId="53A62DBD" w14:textId="77777777" w:rsidR="00184377" w:rsidRPr="00A123DE" w:rsidRDefault="00184377" w:rsidP="00184377">
            <w:pPr>
              <w:shd w:val="clear" w:color="auto" w:fill="FFFFFF"/>
              <w:rPr>
                <w:noProof/>
                <w:color w:val="000000"/>
                <w:sz w:val="32"/>
                <w:szCs w:val="32"/>
                <w:lang w:eastAsia="fi-FI"/>
              </w:rPr>
            </w:pPr>
            <w:r w:rsidRPr="00A123DE">
              <w:rPr>
                <w:noProof/>
                <w:color w:val="000000"/>
                <w:sz w:val="32"/>
                <w:szCs w:val="32"/>
                <w:lang w:eastAsia="fi-FI"/>
              </w:rPr>
              <w:lastRenderedPageBreak/>
              <w:t>A                                                                 B</w:t>
            </w:r>
          </w:p>
          <w:p w14:paraId="29358C8B" w14:textId="77777777" w:rsidR="00184377" w:rsidRDefault="00184377" w:rsidP="00184377">
            <w:pPr>
              <w:shd w:val="clear" w:color="auto" w:fill="FFFFFF"/>
              <w:rPr>
                <w:color w:val="000000"/>
                <w:sz w:val="21"/>
                <w:szCs w:val="21"/>
                <w:lang w:eastAsia="fi-FI"/>
              </w:rPr>
            </w:pPr>
            <w:r>
              <w:rPr>
                <w:noProof/>
                <w:color w:val="000000"/>
                <w:sz w:val="21"/>
                <w:szCs w:val="21"/>
                <w:lang w:val="en-GB" w:eastAsia="en-GB"/>
              </w:rPr>
              <w:drawing>
                <wp:inline distT="0" distB="0" distL="0" distR="0" wp14:anchorId="5B6BD572" wp14:editId="52E8507A">
                  <wp:extent cx="2160000" cy="21600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_Tree_OneClick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123DE">
              <w:rPr>
                <w:b/>
                <w:bCs/>
                <w:noProof/>
                <w:sz w:val="32"/>
                <w:szCs w:val="32"/>
                <w:lang w:eastAsia="fi-FI"/>
              </w:rPr>
              <w:t xml:space="preserve">                    </w:t>
            </w:r>
            <w:r>
              <w:rPr>
                <w:b/>
                <w:bCs/>
                <w:noProof/>
                <w:sz w:val="32"/>
                <w:szCs w:val="32"/>
                <w:lang w:val="en-GB" w:eastAsia="en-GB"/>
              </w:rPr>
              <w:drawing>
                <wp:inline distT="0" distB="0" distL="0" distR="0" wp14:anchorId="35643EE6" wp14:editId="61CDCA94">
                  <wp:extent cx="2160000" cy="21600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_Tree_OneClick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5D8505" w14:textId="77777777" w:rsidR="00184377" w:rsidRDefault="00184377" w:rsidP="00184377">
            <w:pPr>
              <w:shd w:val="clear" w:color="auto" w:fill="FFFFFF"/>
              <w:jc w:val="center"/>
              <w:rPr>
                <w:color w:val="000000"/>
                <w:sz w:val="21"/>
                <w:szCs w:val="21"/>
                <w:lang w:eastAsia="fi-FI"/>
              </w:rPr>
            </w:pPr>
          </w:p>
          <w:p w14:paraId="4CC4C019" w14:textId="77777777" w:rsidR="00184377" w:rsidRPr="0039328E" w:rsidRDefault="00184377" w:rsidP="00184377">
            <w:pPr>
              <w:shd w:val="clear" w:color="auto" w:fill="FFFFFF"/>
              <w:rPr>
                <w:color w:val="000000"/>
                <w:sz w:val="21"/>
                <w:szCs w:val="21"/>
                <w:lang w:eastAsia="fi-FI"/>
              </w:rPr>
            </w:pPr>
            <w:r>
              <w:rPr>
                <w:b/>
                <w:sz w:val="20"/>
                <w:szCs w:val="20"/>
              </w:rPr>
              <w:t>Fig. 3</w:t>
            </w:r>
            <w:r w:rsidRPr="00FB03DF">
              <w:rPr>
                <w:b/>
                <w:sz w:val="20"/>
                <w:szCs w:val="20"/>
              </w:rPr>
              <w:t>.</w:t>
            </w:r>
            <w:r w:rsidRPr="00FB03DF">
              <w:rPr>
                <w:sz w:val="20"/>
                <w:szCs w:val="20"/>
              </w:rPr>
              <w:t xml:space="preserve"> Phylogenetic tree</w:t>
            </w:r>
            <w:r>
              <w:rPr>
                <w:sz w:val="20"/>
                <w:szCs w:val="20"/>
              </w:rPr>
              <w:t>s showing relations</w:t>
            </w:r>
            <w:r w:rsidRPr="00FB03DF">
              <w:rPr>
                <w:sz w:val="20"/>
                <w:szCs w:val="20"/>
              </w:rPr>
              <w:t xml:space="preserve">hips </w:t>
            </w:r>
            <w:r>
              <w:rPr>
                <w:sz w:val="20"/>
                <w:szCs w:val="20"/>
              </w:rPr>
              <w:t xml:space="preserve">between proposed members of the </w:t>
            </w:r>
            <w:r w:rsidRPr="00FB03DF">
              <w:rPr>
                <w:i/>
                <w:sz w:val="20"/>
                <w:szCs w:val="20"/>
              </w:rPr>
              <w:t>Cystoviridae</w:t>
            </w:r>
            <w:r w:rsidRPr="00B93297">
              <w:rPr>
                <w:sz w:val="20"/>
                <w:szCs w:val="20"/>
              </w:rPr>
              <w:t xml:space="preserve"> based on </w:t>
            </w:r>
            <w:r w:rsidRPr="00237DB8">
              <w:rPr>
                <w:sz w:val="20"/>
                <w:szCs w:val="20"/>
              </w:rPr>
              <w:t xml:space="preserve">nucleotide sequence comparisons of </w:t>
            </w:r>
            <w:r>
              <w:rPr>
                <w:sz w:val="20"/>
                <w:szCs w:val="20"/>
              </w:rPr>
              <w:t xml:space="preserve">the segments S (A), </w:t>
            </w:r>
            <w:r w:rsidRPr="00237DB8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 (B) and L (C),</w:t>
            </w:r>
            <w:r w:rsidRPr="00B93297">
              <w:rPr>
                <w:b/>
                <w:sz w:val="20"/>
                <w:szCs w:val="20"/>
              </w:rPr>
              <w:t xml:space="preserve"> </w:t>
            </w:r>
            <w:r w:rsidRPr="00B93297">
              <w:rPr>
                <w:sz w:val="20"/>
                <w:szCs w:val="20"/>
              </w:rPr>
              <w:t xml:space="preserve">constructed using </w:t>
            </w:r>
            <w:r w:rsidRPr="00FE5209">
              <w:rPr>
                <w:iCs/>
                <w:sz w:val="20"/>
                <w:szCs w:val="20"/>
                <w:lang w:eastAsia="fi-FI"/>
              </w:rPr>
              <w:t>“One Click”</w:t>
            </w:r>
            <w:r>
              <w:rPr>
                <w:iCs/>
                <w:sz w:val="20"/>
                <w:szCs w:val="20"/>
                <w:lang w:eastAsia="fi-FI"/>
              </w:rPr>
              <w:t xml:space="preserve"> at </w:t>
            </w:r>
            <w:r w:rsidRPr="00FE5209">
              <w:rPr>
                <w:iCs/>
                <w:sz w:val="20"/>
                <w:szCs w:val="20"/>
                <w:lang w:eastAsia="fi-FI"/>
              </w:rPr>
              <w:t>Phylogeny.fr.</w:t>
            </w:r>
            <w:r w:rsidRPr="00B93297">
              <w:rPr>
                <w:sz w:val="20"/>
                <w:szCs w:val="20"/>
              </w:rPr>
              <w:t xml:space="preserve"> </w:t>
            </w:r>
          </w:p>
          <w:p w14:paraId="330A4A29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2CCBE0E3" w14:textId="77777777" w:rsidR="00184377" w:rsidRDefault="00184377" w:rsidP="00184377">
            <w:pPr>
              <w:rPr>
                <w:sz w:val="20"/>
                <w:szCs w:val="20"/>
              </w:rPr>
            </w:pPr>
          </w:p>
          <w:p w14:paraId="247F1DB6" w14:textId="77777777" w:rsidR="00184377" w:rsidRPr="00F262F3" w:rsidRDefault="00184377" w:rsidP="00184377">
            <w:pPr>
              <w:rPr>
                <w:rFonts w:eastAsia="Arial Unicode MS" w:cs="Arial Unicode MS"/>
                <w:color w:val="000000"/>
                <w:sz w:val="20"/>
                <w:szCs w:val="20"/>
                <w:lang w:eastAsia="fi-FI"/>
              </w:rPr>
            </w:pPr>
            <w:r w:rsidRPr="00277C05">
              <w:rPr>
                <w:noProof/>
                <w:lang w:eastAsia="fi-FI"/>
              </w:rPr>
              <w:t xml:space="preserve">                            </w:t>
            </w:r>
          </w:p>
        </w:tc>
      </w:tr>
    </w:tbl>
    <w:p w14:paraId="0F481FAE" w14:textId="77777777" w:rsidR="00184377" w:rsidRDefault="00184377" w:rsidP="00184377">
      <w:pPr>
        <w:rPr>
          <w:rFonts w:eastAsia="Times"/>
          <w:color w:val="000000"/>
          <w:sz w:val="22"/>
          <w:szCs w:val="22"/>
          <w:lang w:eastAsia="en-GB"/>
        </w:rPr>
      </w:pPr>
    </w:p>
    <w:p w14:paraId="5CF41AEB" w14:textId="77777777" w:rsidR="00CE0DE4" w:rsidRPr="00991A82" w:rsidRDefault="00306B4B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E1857B" wp14:editId="1CCA80E0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5875" r="19050" b="1270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51A772F1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7FCDC" w14:textId="77777777" w:rsidR="00B3492E" w:rsidRDefault="00B3492E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5CEB7E72" w14:textId="77777777" w:rsidR="00B3492E" w:rsidRDefault="00B3492E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C3707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252FC9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252FC9">
      <w:rPr>
        <w:rFonts w:ascii="Arial" w:hAnsi="Arial" w:cs="Arial"/>
        <w:noProof/>
        <w:color w:val="808080"/>
        <w:sz w:val="20"/>
      </w:rPr>
      <w:t>8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AFDB09" w14:textId="77777777" w:rsidR="00B3492E" w:rsidRDefault="00B3492E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35CF6F5C" w14:textId="77777777" w:rsidR="00B3492E" w:rsidRDefault="00B3492E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4DFDD" w14:textId="77777777" w:rsidR="007E6C07" w:rsidRPr="00F369A4" w:rsidRDefault="007E6C07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 w:rsidR="00104A4B"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5CEA"/>
    <w:rsid w:val="000161E2"/>
    <w:rsid w:val="00016519"/>
    <w:rsid w:val="0001718F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C0126"/>
    <w:rsid w:val="000C32A9"/>
    <w:rsid w:val="000C48C2"/>
    <w:rsid w:val="000C609F"/>
    <w:rsid w:val="000D2F03"/>
    <w:rsid w:val="000F2517"/>
    <w:rsid w:val="000F5890"/>
    <w:rsid w:val="000F5A87"/>
    <w:rsid w:val="000F5D25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4377"/>
    <w:rsid w:val="00185699"/>
    <w:rsid w:val="001946B2"/>
    <w:rsid w:val="001A6701"/>
    <w:rsid w:val="001B74C9"/>
    <w:rsid w:val="001C5EE1"/>
    <w:rsid w:val="001E59C1"/>
    <w:rsid w:val="001E7FD5"/>
    <w:rsid w:val="001F4031"/>
    <w:rsid w:val="00202BB3"/>
    <w:rsid w:val="00206E73"/>
    <w:rsid w:val="00210B49"/>
    <w:rsid w:val="00212269"/>
    <w:rsid w:val="002129A8"/>
    <w:rsid w:val="0022566F"/>
    <w:rsid w:val="002361B7"/>
    <w:rsid w:val="00236673"/>
    <w:rsid w:val="00252FC9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150"/>
    <w:rsid w:val="00295698"/>
    <w:rsid w:val="002978A6"/>
    <w:rsid w:val="002A4018"/>
    <w:rsid w:val="002A7D6D"/>
    <w:rsid w:val="002B75AB"/>
    <w:rsid w:val="002E36D5"/>
    <w:rsid w:val="00304104"/>
    <w:rsid w:val="00306A5E"/>
    <w:rsid w:val="00306B4B"/>
    <w:rsid w:val="003144B7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1E05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2B0B"/>
    <w:rsid w:val="00404ECA"/>
    <w:rsid w:val="0041238F"/>
    <w:rsid w:val="00413670"/>
    <w:rsid w:val="004152C9"/>
    <w:rsid w:val="00422FF0"/>
    <w:rsid w:val="004435EC"/>
    <w:rsid w:val="00444E1E"/>
    <w:rsid w:val="00447321"/>
    <w:rsid w:val="0044774D"/>
    <w:rsid w:val="00470890"/>
    <w:rsid w:val="0047500D"/>
    <w:rsid w:val="004937AC"/>
    <w:rsid w:val="00494623"/>
    <w:rsid w:val="004A345B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F23EA"/>
    <w:rsid w:val="004F771E"/>
    <w:rsid w:val="0050228B"/>
    <w:rsid w:val="00503E8B"/>
    <w:rsid w:val="00505D9F"/>
    <w:rsid w:val="0050662A"/>
    <w:rsid w:val="005073F2"/>
    <w:rsid w:val="00516D9F"/>
    <w:rsid w:val="005201AD"/>
    <w:rsid w:val="00521073"/>
    <w:rsid w:val="00522E71"/>
    <w:rsid w:val="00530EFE"/>
    <w:rsid w:val="00534EED"/>
    <w:rsid w:val="005368BD"/>
    <w:rsid w:val="00581ED1"/>
    <w:rsid w:val="005929A4"/>
    <w:rsid w:val="005953F1"/>
    <w:rsid w:val="00597E20"/>
    <w:rsid w:val="005B600C"/>
    <w:rsid w:val="005C00CD"/>
    <w:rsid w:val="005D0BFD"/>
    <w:rsid w:val="005D19C9"/>
    <w:rsid w:val="005D7EC4"/>
    <w:rsid w:val="005D7F24"/>
    <w:rsid w:val="005F0E5A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6F47F9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44A1A"/>
    <w:rsid w:val="008655D6"/>
    <w:rsid w:val="008762E5"/>
    <w:rsid w:val="00881C86"/>
    <w:rsid w:val="00890FAF"/>
    <w:rsid w:val="00891C67"/>
    <w:rsid w:val="008B6D5E"/>
    <w:rsid w:val="008C2CC4"/>
    <w:rsid w:val="008C7B86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26A4D"/>
    <w:rsid w:val="0093622B"/>
    <w:rsid w:val="00936A58"/>
    <w:rsid w:val="009551D6"/>
    <w:rsid w:val="009564E3"/>
    <w:rsid w:val="0096368E"/>
    <w:rsid w:val="00963FA9"/>
    <w:rsid w:val="00965805"/>
    <w:rsid w:val="00973680"/>
    <w:rsid w:val="009761BE"/>
    <w:rsid w:val="0098324C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C5D0A"/>
    <w:rsid w:val="009D29FA"/>
    <w:rsid w:val="009E036E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C0E72"/>
    <w:rsid w:val="00AC4313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92E"/>
    <w:rsid w:val="00B34F6A"/>
    <w:rsid w:val="00B3773E"/>
    <w:rsid w:val="00B45888"/>
    <w:rsid w:val="00B5488B"/>
    <w:rsid w:val="00B63708"/>
    <w:rsid w:val="00B82C59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57855"/>
    <w:rsid w:val="00C64F92"/>
    <w:rsid w:val="00C67A98"/>
    <w:rsid w:val="00C75039"/>
    <w:rsid w:val="00C762C9"/>
    <w:rsid w:val="00C80265"/>
    <w:rsid w:val="00C80659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47F8"/>
    <w:rsid w:val="00D15256"/>
    <w:rsid w:val="00D157F5"/>
    <w:rsid w:val="00D15A4D"/>
    <w:rsid w:val="00D1634C"/>
    <w:rsid w:val="00D16A8B"/>
    <w:rsid w:val="00D2300C"/>
    <w:rsid w:val="00D23CE8"/>
    <w:rsid w:val="00D26E05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4AE"/>
    <w:rsid w:val="00DB4BB2"/>
    <w:rsid w:val="00DC6415"/>
    <w:rsid w:val="00DD00F3"/>
    <w:rsid w:val="00DD54DC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16D3E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F00D95"/>
    <w:rsid w:val="00F03479"/>
    <w:rsid w:val="00F038BC"/>
    <w:rsid w:val="00F050DB"/>
    <w:rsid w:val="00F071D8"/>
    <w:rsid w:val="00F31A99"/>
    <w:rsid w:val="00F343F2"/>
    <w:rsid w:val="00F369A4"/>
    <w:rsid w:val="00F41198"/>
    <w:rsid w:val="00F411CA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D509A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B6FA7D"/>
  <w15:docId w15:val="{2C9FB46B-8C93-4EC7-95E5-047E6DA6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NormalWeb">
    <w:name w:val="Normal (Web)"/>
    <w:basedOn w:val="Normal"/>
    <w:uiPriority w:val="99"/>
    <w:unhideWhenUsed/>
    <w:rsid w:val="00F411CA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fi-FI" w:eastAsia="fi-FI"/>
    </w:rPr>
  </w:style>
  <w:style w:type="character" w:customStyle="1" w:styleId="jrnl">
    <w:name w:val="jrnl"/>
    <w:basedOn w:val="DefaultParagraphFont"/>
    <w:rsid w:val="00F411CA"/>
  </w:style>
  <w:style w:type="character" w:styleId="CommentReference">
    <w:name w:val="annotation reference"/>
    <w:basedOn w:val="DefaultParagraphFont"/>
    <w:uiPriority w:val="99"/>
    <w:semiHidden/>
    <w:unhideWhenUsed/>
    <w:rsid w:val="000F25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25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51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517"/>
    <w:rPr>
      <w:b/>
      <w:bCs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44B7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44B7"/>
    <w:rPr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3144B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na.poranen@helsinki.fi" TargetMode="External"/><Relationship Id="rId13" Type="http://schemas.openxmlformats.org/officeDocument/2006/relationships/image" Target="media/image2.jpeg"/><Relationship Id="rId18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image" Target="media/image5.jp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4.jpg"/><Relationship Id="rId10" Type="http://schemas.openxmlformats.org/officeDocument/2006/relationships/hyperlink" Target="https://www.ncbi.nlm.nih.gov/pubmed/2793490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10444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2017-06-09T08:03:00Z</cp:lastPrinted>
  <dcterms:created xsi:type="dcterms:W3CDTF">2017-06-22T13:15:00Z</dcterms:created>
  <dcterms:modified xsi:type="dcterms:W3CDTF">2017-06-22T13:15:00Z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