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292DCB98" w:rsidR="00A174CC" w:rsidRDefault="00300F13">
            <w:pPr>
              <w:pStyle w:val="BodyTextIndent"/>
              <w:ind w:left="0" w:firstLine="0"/>
              <w:jc w:val="center"/>
              <w:rPr>
                <w:rFonts w:ascii="Arial" w:hAnsi="Arial" w:cs="Arial"/>
                <w:b/>
                <w:bCs/>
                <w:i/>
                <w:sz w:val="28"/>
                <w:szCs w:val="28"/>
              </w:rPr>
            </w:pPr>
            <w:r w:rsidRPr="003F00D2">
              <w:rPr>
                <w:rFonts w:ascii="Arial" w:hAnsi="Arial" w:cs="Arial"/>
                <w:b/>
                <w:bCs/>
                <w:iCs/>
                <w:sz w:val="28"/>
                <w:szCs w:val="28"/>
              </w:rPr>
              <w:t>2021.0</w:t>
            </w:r>
            <w:r w:rsidR="009B344E">
              <w:rPr>
                <w:rFonts w:ascii="Arial" w:hAnsi="Arial" w:cs="Arial"/>
                <w:b/>
                <w:bCs/>
                <w:iCs/>
                <w:sz w:val="28"/>
                <w:szCs w:val="28"/>
              </w:rPr>
              <w:t>1</w:t>
            </w:r>
            <w:r w:rsidR="00A15E4E">
              <w:rPr>
                <w:rFonts w:ascii="Arial" w:hAnsi="Arial" w:cs="Arial"/>
                <w:b/>
                <w:bCs/>
                <w:iCs/>
                <w:sz w:val="28"/>
                <w:szCs w:val="28"/>
              </w:rPr>
              <w:t>5</w:t>
            </w:r>
            <w:r w:rsidRPr="003F00D2">
              <w:rPr>
                <w:rFonts w:ascii="Arial" w:hAnsi="Arial" w:cs="Arial"/>
                <w:b/>
                <w:bCs/>
                <w:iCs/>
                <w:sz w:val="28"/>
                <w:szCs w:val="28"/>
              </w:rPr>
              <w:t>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3CB61FF3" w:rsidR="00A174CC" w:rsidRPr="000A146A" w:rsidRDefault="008815EE" w:rsidP="0052702F">
            <w:pPr>
              <w:spacing w:before="120"/>
              <w:rPr>
                <w:rFonts w:ascii="Arial" w:hAnsi="Arial" w:cs="Arial"/>
                <w:b/>
              </w:rPr>
            </w:pPr>
            <w:r w:rsidRPr="00A15E4E">
              <w:rPr>
                <w:rFonts w:ascii="Arial" w:hAnsi="Arial" w:cs="Arial"/>
                <w:b/>
              </w:rPr>
              <w:t>Short title:</w:t>
            </w:r>
            <w:r w:rsidRPr="00A15E4E">
              <w:rPr>
                <w:rFonts w:ascii="Arial" w:hAnsi="Arial" w:cs="Arial"/>
                <w:bCs/>
              </w:rPr>
              <w:t xml:space="preserve"> </w:t>
            </w:r>
            <w:r w:rsidR="00A15E4E" w:rsidRPr="00A15E4E">
              <w:rPr>
                <w:rFonts w:ascii="Arial" w:hAnsi="Arial"/>
              </w:rPr>
              <w:t xml:space="preserve">Create ten new species and two new genera in the families </w:t>
            </w:r>
            <w:r w:rsidR="00A15E4E" w:rsidRPr="00A15E4E">
              <w:rPr>
                <w:rFonts w:ascii="Arial" w:hAnsi="Arial"/>
                <w:i/>
                <w:iCs/>
              </w:rPr>
              <w:t>Aliusviridae</w:t>
            </w:r>
            <w:r w:rsidR="00A15E4E" w:rsidRPr="00A15E4E">
              <w:rPr>
                <w:rFonts w:ascii="Arial" w:hAnsi="Arial"/>
              </w:rPr>
              <w:t xml:space="preserve"> and </w:t>
            </w:r>
            <w:r w:rsidR="00A15E4E" w:rsidRPr="00A15E4E">
              <w:rPr>
                <w:rFonts w:ascii="Arial" w:hAnsi="Arial"/>
                <w:i/>
                <w:iCs/>
              </w:rPr>
              <w:t>Chuviridae</w:t>
            </w:r>
            <w:r w:rsidR="00A15E4E" w:rsidRPr="00A15E4E">
              <w:rPr>
                <w:rFonts w:ascii="Arial" w:hAnsi="Arial"/>
              </w:rPr>
              <w:t xml:space="preserve"> (</w:t>
            </w:r>
            <w:r w:rsidR="00A15E4E" w:rsidRPr="00A15E4E">
              <w:rPr>
                <w:rFonts w:ascii="Arial" w:hAnsi="Arial"/>
                <w:i/>
                <w:iCs/>
              </w:rPr>
              <w:t>Jingchuvirales</w:t>
            </w:r>
            <w:r w:rsidR="00A15E4E" w:rsidRPr="00A15E4E">
              <w:rPr>
                <w:rFonts w:ascii="Arial" w:hAnsi="Arial"/>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9B344E" w14:paraId="0DA7C70F" w14:textId="77777777" w:rsidTr="009B344E">
        <w:tc>
          <w:tcPr>
            <w:tcW w:w="4368" w:type="dxa"/>
            <w:tcBorders>
              <w:top w:val="single" w:sz="4" w:space="0" w:color="auto"/>
              <w:left w:val="single" w:sz="4" w:space="0" w:color="auto"/>
              <w:bottom w:val="single" w:sz="4" w:space="0" w:color="auto"/>
              <w:right w:val="single" w:sz="4" w:space="0" w:color="auto"/>
            </w:tcBorders>
            <w:hideMark/>
          </w:tcPr>
          <w:p w14:paraId="266C9443" w14:textId="77777777" w:rsidR="00A15E4E" w:rsidRDefault="00A15E4E" w:rsidP="00A15E4E">
            <w:pPr>
              <w:pStyle w:val="BodyTextIndent"/>
              <w:ind w:left="0" w:firstLine="0"/>
              <w:rPr>
                <w:rFonts w:ascii="Arial" w:eastAsia="Arial" w:hAnsi="Arial" w:cs="Arial"/>
                <w:sz w:val="22"/>
                <w:szCs w:val="22"/>
              </w:rPr>
            </w:pPr>
            <w:r>
              <w:rPr>
                <w:rFonts w:ascii="Arial" w:hAnsi="Arial"/>
                <w:sz w:val="22"/>
                <w:szCs w:val="22"/>
                <w14:textOutline w14:w="12700" w14:cap="flat" w14:cmpd="sng" w14:algn="ctr">
                  <w14:noFill/>
                  <w14:prstDash w14:val="solid"/>
                  <w14:miter w14:lim="400000"/>
                </w14:textOutline>
              </w:rPr>
              <w:t>Di Paola N, Dheilly NM, Kuhn JH, Junglen S, Paraskevopoulou S, Postler TS, Shi M</w:t>
            </w:r>
          </w:p>
          <w:p w14:paraId="05081C3F" w14:textId="0AE24B3A" w:rsidR="009B344E" w:rsidRDefault="009B344E" w:rsidP="00A9708C">
            <w:pPr>
              <w:rPr>
                <w:rFonts w:ascii="Arial" w:hAnsi="Arial" w:cs="Arial"/>
                <w:sz w:val="22"/>
                <w:szCs w:val="22"/>
                <w:lang w:val="en-GB"/>
              </w:rPr>
            </w:pPr>
          </w:p>
        </w:tc>
        <w:tc>
          <w:tcPr>
            <w:tcW w:w="4704" w:type="dxa"/>
            <w:tcBorders>
              <w:top w:val="single" w:sz="4" w:space="0" w:color="auto"/>
              <w:left w:val="single" w:sz="4" w:space="0" w:color="auto"/>
              <w:bottom w:val="single" w:sz="4" w:space="0" w:color="auto"/>
              <w:right w:val="single" w:sz="4" w:space="0" w:color="auto"/>
            </w:tcBorders>
            <w:hideMark/>
          </w:tcPr>
          <w:p w14:paraId="233043DA" w14:textId="18CC7D55" w:rsidR="009B344E" w:rsidRDefault="00A15E4E" w:rsidP="00A9708C">
            <w:pPr>
              <w:rPr>
                <w:rFonts w:ascii="Arial" w:hAnsi="Arial" w:cs="Arial"/>
                <w:color w:val="0563C1" w:themeColor="hyperlink"/>
                <w:sz w:val="22"/>
                <w:szCs w:val="22"/>
                <w:u w:val="single"/>
                <w:lang w:val="en-GB"/>
              </w:rPr>
            </w:pPr>
            <w:r w:rsidRPr="004441CA">
              <w:rPr>
                <w:rFonts w:ascii="Arial" w:hAnsi="Arial" w:cs="Arial"/>
                <w:sz w:val="22"/>
                <w:szCs w:val="22"/>
              </w:rPr>
              <w:t>nicholas.dipaola.c</w:t>
            </w:r>
            <w:r w:rsidR="00982C6C">
              <w:rPr>
                <w:rFonts w:ascii="Arial" w:hAnsi="Arial" w:cs="Arial"/>
                <w:sz w:val="22"/>
                <w:szCs w:val="22"/>
              </w:rPr>
              <w:t>iv</w:t>
            </w:r>
            <w:r w:rsidRPr="004441CA">
              <w:rPr>
                <w:rFonts w:ascii="Arial" w:hAnsi="Arial" w:cs="Arial"/>
                <w:sz w:val="22"/>
                <w:szCs w:val="22"/>
              </w:rPr>
              <w:t>@</w:t>
            </w:r>
            <w:r w:rsidR="00982C6C">
              <w:rPr>
                <w:rFonts w:ascii="Arial" w:hAnsi="Arial" w:cs="Arial"/>
                <w:sz w:val="22"/>
                <w:szCs w:val="22"/>
              </w:rPr>
              <w:t>health</w:t>
            </w:r>
            <w:r w:rsidRPr="004441CA">
              <w:rPr>
                <w:rFonts w:ascii="Arial" w:hAnsi="Arial" w:cs="Arial"/>
                <w:sz w:val="22"/>
                <w:szCs w:val="22"/>
              </w:rPr>
              <w:t>.mil; nolwenn.dheilly@anses.fr; kuhnjens@mail.nih.gov; sandra.junglen@charite.de; sofia.paraskevopoulou@charite.de; tp2405@cumc.columbia.edu; shim23@mail.sysu.edu.cn</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rsidP="0052702F">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5D6E5376" w:rsidR="00A174CC" w:rsidRDefault="00A15E4E">
            <w:pPr>
              <w:rPr>
                <w:rFonts w:ascii="Arial" w:hAnsi="Arial" w:cs="Arial"/>
                <w:sz w:val="22"/>
                <w:szCs w:val="22"/>
              </w:rPr>
            </w:pPr>
            <w:r>
              <w:rPr>
                <w:rFonts w:ascii="Arial" w:hAnsi="Arial" w:cs="Arial"/>
                <w:sz w:val="22"/>
                <w:szCs w:val="22"/>
              </w:rPr>
              <w:t>Di Paola N</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5732FCF2" w:rsidR="00A174CC" w:rsidRDefault="009B344E" w:rsidP="0052702F">
            <w:pPr>
              <w:rPr>
                <w:rFonts w:ascii="Arial" w:hAnsi="Arial" w:cs="Arial"/>
                <w:sz w:val="22"/>
                <w:szCs w:val="22"/>
              </w:rPr>
            </w:pPr>
            <w:r>
              <w:rPr>
                <w:rFonts w:ascii="Arial" w:hAnsi="Arial" w:cs="Arial"/>
                <w:sz w:val="22"/>
                <w:szCs w:val="22"/>
              </w:rPr>
              <w:t xml:space="preserve">ICTV </w:t>
            </w:r>
            <w:r w:rsidR="00A15E4E">
              <w:rPr>
                <w:rFonts w:ascii="Arial" w:hAnsi="Arial" w:cs="Arial"/>
                <w:i/>
                <w:iCs/>
                <w:sz w:val="22"/>
                <w:szCs w:val="22"/>
              </w:rPr>
              <w:t>Jingchuvirales</w:t>
            </w:r>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309ABC39" w:rsidR="00A174CC" w:rsidRDefault="007963C5">
            <w:pPr>
              <w:rPr>
                <w:rFonts w:ascii="Arial" w:hAnsi="Arial" w:cs="Arial"/>
                <w:sz w:val="22"/>
                <w:szCs w:val="22"/>
              </w:rPr>
            </w:pPr>
            <w:r>
              <w:rPr>
                <w:rFonts w:ascii="Arial" w:hAnsi="Arial" w:cs="Arial"/>
                <w:sz w:val="22"/>
                <w:szCs w:val="22"/>
              </w:rPr>
              <w:t>Approved.</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5CC1BCBA" w:rsidR="0037243A" w:rsidRDefault="008F7FD8" w:rsidP="000A0D80">
            <w:pPr>
              <w:rPr>
                <w:rFonts w:ascii="Arial" w:hAnsi="Arial" w:cs="Arial"/>
                <w:sz w:val="22"/>
                <w:szCs w:val="22"/>
              </w:rPr>
            </w:pPr>
            <w:r>
              <w:rPr>
                <w:rFonts w:ascii="Arial" w:hAnsi="Arial" w:cs="Arial"/>
                <w:sz w:val="22"/>
                <w:szCs w:val="22"/>
              </w:rPr>
              <w:t xml:space="preserve">ICTV </w:t>
            </w:r>
            <w:r w:rsidR="00A15E4E">
              <w:rPr>
                <w:rFonts w:ascii="Arial" w:hAnsi="Arial" w:cs="Arial"/>
                <w:i/>
                <w:iCs/>
                <w:sz w:val="22"/>
                <w:szCs w:val="22"/>
              </w:rPr>
              <w:t>Jingchuvirales</w:t>
            </w:r>
            <w:r>
              <w:rPr>
                <w:rFonts w:ascii="Arial" w:hAnsi="Arial" w:cs="Arial"/>
                <w:sz w:val="22"/>
                <w:szCs w:val="22"/>
              </w:rPr>
              <w:t xml:space="preserve"> Study Group</w:t>
            </w:r>
          </w:p>
        </w:tc>
        <w:tc>
          <w:tcPr>
            <w:tcW w:w="1984" w:type="dxa"/>
            <w:shd w:val="clear" w:color="auto" w:fill="auto"/>
          </w:tcPr>
          <w:p w14:paraId="080F51E8" w14:textId="5FA75D8F" w:rsidR="0037243A" w:rsidRDefault="000D6C92" w:rsidP="000A0D80">
            <w:pPr>
              <w:rPr>
                <w:rFonts w:ascii="Arial" w:hAnsi="Arial" w:cs="Arial"/>
                <w:sz w:val="22"/>
                <w:szCs w:val="22"/>
              </w:rPr>
            </w:pPr>
            <w:r>
              <w:rPr>
                <w:rFonts w:ascii="Arial" w:hAnsi="Arial" w:cs="Arial"/>
                <w:sz w:val="22"/>
                <w:szCs w:val="22"/>
              </w:rPr>
              <w:t>6</w:t>
            </w:r>
          </w:p>
        </w:tc>
        <w:tc>
          <w:tcPr>
            <w:tcW w:w="1985" w:type="dxa"/>
            <w:shd w:val="clear" w:color="auto" w:fill="auto"/>
          </w:tcPr>
          <w:p w14:paraId="4EC5D82B" w14:textId="239706B5" w:rsidR="0037243A" w:rsidRDefault="00A15E4E" w:rsidP="000A0D80">
            <w:pPr>
              <w:rPr>
                <w:rFonts w:ascii="Arial" w:hAnsi="Arial" w:cs="Arial"/>
                <w:sz w:val="22"/>
                <w:szCs w:val="22"/>
              </w:rPr>
            </w:pPr>
            <w:r>
              <w:rPr>
                <w:rFonts w:ascii="Arial" w:hAnsi="Arial" w:cs="Arial"/>
                <w:sz w:val="22"/>
                <w:szCs w:val="22"/>
              </w:rPr>
              <w:t>0</w:t>
            </w:r>
          </w:p>
        </w:tc>
        <w:tc>
          <w:tcPr>
            <w:tcW w:w="2126" w:type="dxa"/>
          </w:tcPr>
          <w:p w14:paraId="23732184" w14:textId="4FFD4248" w:rsidR="0037243A" w:rsidRDefault="00A15E4E"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670A69">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93A0AB6" w:rsidR="00A174CC" w:rsidRPr="000A146A" w:rsidRDefault="0052702F">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5E7CA80" w:rsidR="00A174CC" w:rsidRDefault="0052702F">
            <w:pPr>
              <w:rPr>
                <w:rFonts w:ascii="Arial" w:hAnsi="Arial" w:cs="Arial"/>
                <w:sz w:val="22"/>
                <w:szCs w:val="22"/>
              </w:rPr>
            </w:pPr>
            <w:r>
              <w:rPr>
                <w:rFonts w:ascii="Arial" w:hAnsi="Arial" w:cs="Arial"/>
                <w:sz w:val="22"/>
                <w:szCs w:val="22"/>
              </w:rPr>
              <w:t>May 2</w:t>
            </w:r>
            <w:r w:rsidR="00300F13">
              <w:rPr>
                <w:rFonts w:ascii="Arial" w:hAnsi="Arial" w:cs="Arial"/>
                <w:sz w:val="22"/>
                <w:szCs w:val="22"/>
              </w:rPr>
              <w:t>8</w:t>
            </w:r>
            <w:r>
              <w:rPr>
                <w:rFonts w:ascii="Arial" w:hAnsi="Arial" w:cs="Arial"/>
                <w:sz w:val="22"/>
                <w:szCs w:val="22"/>
              </w:rPr>
              <w:t>, 202</w:t>
            </w:r>
            <w:r w:rsidR="00300F13">
              <w:rPr>
                <w:rFonts w:ascii="Arial" w:hAnsi="Arial" w:cs="Arial"/>
                <w:sz w:val="22"/>
                <w:szCs w:val="22"/>
              </w:rPr>
              <w:t>1</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387A6A5C" w:rsidR="00A174CC" w:rsidRDefault="00A15E4E">
            <w:pPr>
              <w:rPr>
                <w:rFonts w:ascii="Arial" w:hAnsi="Arial" w:cs="Arial"/>
                <w:sz w:val="22"/>
                <w:szCs w:val="22"/>
              </w:rPr>
            </w:pPr>
            <w:r>
              <w:rPr>
                <w:rFonts w:ascii="Arial" w:hAnsi="Arial" w:cs="Arial"/>
                <w:sz w:val="22"/>
                <w:szCs w:val="22"/>
              </w:rPr>
              <w:t>July</w:t>
            </w:r>
            <w:r w:rsidR="00300F13">
              <w:rPr>
                <w:rFonts w:ascii="Arial" w:hAnsi="Arial" w:cs="Arial"/>
                <w:sz w:val="22"/>
                <w:szCs w:val="22"/>
              </w:rPr>
              <w:t xml:space="preserve"> </w:t>
            </w:r>
            <w:r>
              <w:rPr>
                <w:rFonts w:ascii="Arial" w:hAnsi="Arial" w:cs="Arial"/>
                <w:sz w:val="22"/>
                <w:szCs w:val="22"/>
              </w:rPr>
              <w:t>8</w:t>
            </w:r>
            <w:r w:rsidR="00320AEA">
              <w:rPr>
                <w:rFonts w:ascii="Arial" w:hAnsi="Arial" w:cs="Arial"/>
                <w:sz w:val="22"/>
                <w:szCs w:val="22"/>
              </w:rPr>
              <w:t>,</w:t>
            </w:r>
            <w:r w:rsidR="00300F13">
              <w:rPr>
                <w:rFonts w:ascii="Arial" w:hAnsi="Arial" w:cs="Arial"/>
                <w:sz w:val="22"/>
                <w:szCs w:val="22"/>
              </w:rPr>
              <w:t xml:space="preserve"> 2022</w:t>
            </w:r>
          </w:p>
        </w:tc>
      </w:tr>
    </w:tbl>
    <w:p w14:paraId="5D2D9F45" w14:textId="77777777" w:rsidR="00670A69" w:rsidRDefault="00670A69">
      <w:pPr>
        <w:spacing w:before="120" w:after="120"/>
        <w:rPr>
          <w:rFonts w:ascii="Arial" w:hAnsi="Arial" w:cs="Arial"/>
          <w:b/>
        </w:rPr>
      </w:pPr>
    </w:p>
    <w:p w14:paraId="172E3080" w14:textId="28443EE5" w:rsidR="00A174CC" w:rsidRDefault="008815EE">
      <w:pPr>
        <w:spacing w:before="120" w:after="120"/>
        <w:rPr>
          <w:rFonts w:ascii="Arial" w:hAnsi="Arial" w:cs="Arial"/>
          <w:b/>
        </w:rPr>
      </w:pPr>
      <w:r>
        <w:rPr>
          <w:rFonts w:ascii="Arial" w:hAnsi="Arial" w:cs="Arial"/>
          <w:b/>
        </w:rPr>
        <w:lastRenderedPageBreak/>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49DDF613" w:rsidR="00320AEA" w:rsidRPr="00320AEA" w:rsidRDefault="00D37442" w:rsidP="00A15E4E">
            <w:r>
              <w:rPr>
                <w:rFonts w:ascii="Arial" w:hAnsi="Arial" w:cs="Arial"/>
                <w:sz w:val="22"/>
                <w:szCs w:val="22"/>
              </w:rPr>
              <w:t xml:space="preserve">The EC requested to state the Study Group voting results. </w:t>
            </w: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EF6F6CC" w:rsidR="00A174CC" w:rsidRDefault="00300F13">
            <w:pPr>
              <w:pStyle w:val="BodyTextIndent"/>
              <w:ind w:left="0" w:firstLine="0"/>
              <w:rPr>
                <w:rFonts w:ascii="Arial" w:hAnsi="Arial" w:cs="Arial"/>
                <w:color w:val="0000FF"/>
                <w:sz w:val="22"/>
                <w:szCs w:val="22"/>
              </w:rPr>
            </w:pPr>
            <w:r w:rsidRPr="00300F13">
              <w:rPr>
                <w:rFonts w:ascii="Arial" w:hAnsi="Arial" w:cs="Arial"/>
                <w:sz w:val="22"/>
                <w:szCs w:val="22"/>
              </w:rPr>
              <w:t>N/A</w:t>
            </w: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10DED710" w:rsidR="00A174CC" w:rsidRDefault="00A15E4E">
            <w:pPr>
              <w:spacing w:before="120" w:after="120"/>
              <w:rPr>
                <w:rFonts w:ascii="Arial" w:hAnsi="Arial" w:cs="Arial"/>
                <w:bCs/>
                <w:sz w:val="22"/>
                <w:szCs w:val="22"/>
              </w:rPr>
            </w:pPr>
            <w:r w:rsidRPr="00A15E4E">
              <w:rPr>
                <w:rFonts w:ascii="Arial" w:hAnsi="Arial" w:cs="Arial"/>
                <w:sz w:val="22"/>
                <w:szCs w:val="22"/>
              </w:rPr>
              <w:t>2021.015M.</w:t>
            </w:r>
            <w:r w:rsidR="00982C6C">
              <w:rPr>
                <w:rFonts w:ascii="Arial" w:hAnsi="Arial" w:cs="Arial"/>
                <w:sz w:val="22"/>
                <w:szCs w:val="22"/>
              </w:rPr>
              <w:t>A</w:t>
            </w:r>
            <w:r w:rsidRPr="00A15E4E">
              <w:rPr>
                <w:rFonts w:ascii="Arial" w:hAnsi="Arial" w:cs="Arial"/>
                <w:sz w:val="22"/>
                <w:szCs w:val="22"/>
              </w:rPr>
              <w:t>.v</w:t>
            </w:r>
            <w:r w:rsidR="00982C6C">
              <w:rPr>
                <w:rFonts w:ascii="Arial" w:hAnsi="Arial" w:cs="Arial"/>
                <w:sz w:val="22"/>
                <w:szCs w:val="22"/>
              </w:rPr>
              <w:t>2</w:t>
            </w:r>
            <w:r w:rsidRPr="00A15E4E">
              <w:rPr>
                <w:rFonts w:ascii="Arial" w:hAnsi="Arial" w:cs="Arial"/>
                <w:sz w:val="22"/>
                <w:szCs w:val="22"/>
              </w:rPr>
              <w:t>.Jingchuvirales_2ngen_10nsp</w:t>
            </w:r>
          </w:p>
        </w:tc>
      </w:tr>
    </w:tbl>
    <w:p w14:paraId="5B5B974B" w14:textId="77777777" w:rsidR="00224C04" w:rsidRDefault="00224C04">
      <w:pPr>
        <w:spacing w:before="120" w:after="120"/>
        <w:rPr>
          <w:rFonts w:ascii="Arial" w:hAnsi="Arial" w:cs="Arial"/>
          <w:b/>
        </w:rPr>
      </w:pPr>
    </w:p>
    <w:p w14:paraId="6D4AFA16" w14:textId="6CCEFA0C"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09D8AB45" w:rsidR="00A174CC" w:rsidRDefault="00A15E4E" w:rsidP="0052702F">
            <w:pPr>
              <w:rPr>
                <w:rFonts w:ascii="Arial" w:hAnsi="Arial" w:cs="Arial"/>
                <w:b/>
                <w:sz w:val="22"/>
                <w:szCs w:val="22"/>
              </w:rPr>
            </w:pPr>
            <w:r>
              <w:rPr>
                <w:rFonts w:ascii="Arial" w:hAnsi="Arial"/>
                <w:sz w:val="22"/>
                <w:szCs w:val="22"/>
              </w:rPr>
              <w:t xml:space="preserve">Several new sequencing projects have further increased the known diversity of negative-sense RNA viruses. Here, the ICTV </w:t>
            </w:r>
            <w:r>
              <w:rPr>
                <w:rFonts w:ascii="Arial" w:hAnsi="Arial"/>
                <w:i/>
                <w:iCs/>
                <w:sz w:val="22"/>
                <w:szCs w:val="22"/>
              </w:rPr>
              <w:t xml:space="preserve">Jingchuvirales </w:t>
            </w:r>
            <w:r>
              <w:rPr>
                <w:rFonts w:ascii="Arial" w:hAnsi="Arial"/>
                <w:sz w:val="22"/>
                <w:szCs w:val="22"/>
              </w:rPr>
              <w:t xml:space="preserve">Study Group proposes 10 new species and two new genera in order </w:t>
            </w:r>
            <w:r>
              <w:rPr>
                <w:rFonts w:ascii="Arial" w:hAnsi="Arial"/>
                <w:i/>
                <w:iCs/>
                <w:sz w:val="22"/>
                <w:szCs w:val="22"/>
              </w:rPr>
              <w:t>Jingchuvirales</w:t>
            </w:r>
            <w:r>
              <w:rPr>
                <w:rFonts w:ascii="Arial" w:hAnsi="Arial"/>
                <w:sz w:val="22"/>
                <w:szCs w:val="22"/>
              </w:rPr>
              <w:t xml:space="preserve">. The genomes of the 10 viruses representing the 10 new species have complete polymerase and nucleoprotein gene </w:t>
            </w:r>
            <w:proofErr w:type="gramStart"/>
            <w:r>
              <w:rPr>
                <w:rFonts w:ascii="Arial" w:hAnsi="Arial"/>
                <w:sz w:val="22"/>
                <w:szCs w:val="22"/>
              </w:rPr>
              <w:t>sequences, but</w:t>
            </w:r>
            <w:proofErr w:type="gramEnd"/>
            <w:r>
              <w:rPr>
                <w:rFonts w:ascii="Arial" w:hAnsi="Arial"/>
                <w:sz w:val="22"/>
                <w:szCs w:val="22"/>
              </w:rPr>
              <w:t xml:space="preserve"> vary substantially in genome organization.</w:t>
            </w:r>
          </w:p>
        </w:tc>
      </w:tr>
    </w:tbl>
    <w:p w14:paraId="4D0232F8" w14:textId="77777777" w:rsidR="00A15E4E" w:rsidRDefault="00A15E4E">
      <w:pPr>
        <w:pStyle w:val="BodyTextIndent"/>
        <w:spacing w:before="120" w:after="120"/>
        <w:ind w:left="0" w:firstLine="0"/>
        <w:rPr>
          <w:rFonts w:ascii="Arial" w:hAnsi="Arial" w:cs="Arial"/>
          <w:b/>
          <w:color w:val="000000"/>
          <w:szCs w:val="24"/>
        </w:rPr>
      </w:pPr>
    </w:p>
    <w:p w14:paraId="5FC8EFB5" w14:textId="26C0C995"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Borders>
          <w:bottom w:val="single" w:sz="4" w:space="0" w:color="auto"/>
        </w:tblBorders>
        <w:tblLook w:val="04A0" w:firstRow="1" w:lastRow="0" w:firstColumn="1" w:lastColumn="0" w:noHBand="0" w:noVBand="1"/>
      </w:tblPr>
      <w:tblGrid>
        <w:gridCol w:w="9228"/>
      </w:tblGrid>
      <w:tr w:rsidR="00A174CC" w14:paraId="15A4B8D2" w14:textId="77777777" w:rsidTr="00A15E4E">
        <w:trPr>
          <w:trHeight w:val="1566"/>
        </w:trPr>
        <w:tc>
          <w:tcPr>
            <w:tcW w:w="9228" w:type="dxa"/>
            <w:tcBorders>
              <w:bottom w:val="nil"/>
            </w:tcBorders>
            <w:shd w:val="clear" w:color="auto" w:fill="auto"/>
          </w:tcPr>
          <w:tbl>
            <w:tblPr>
              <w:tblStyle w:val="TableGrid"/>
              <w:tblW w:w="9002" w:type="dxa"/>
              <w:tblBorders>
                <w:insideH w:val="none" w:sz="0" w:space="0" w:color="auto"/>
                <w:insideV w:val="none" w:sz="0" w:space="0" w:color="auto"/>
              </w:tblBorders>
              <w:tblLook w:val="04A0" w:firstRow="1" w:lastRow="0" w:firstColumn="1" w:lastColumn="0" w:noHBand="0" w:noVBand="1"/>
            </w:tblPr>
            <w:tblGrid>
              <w:gridCol w:w="9002"/>
            </w:tblGrid>
            <w:tr w:rsidR="00A174CC" w14:paraId="195FC3CF" w14:textId="77777777" w:rsidTr="00A15E4E">
              <w:tc>
                <w:tcPr>
                  <w:tcW w:w="9002" w:type="dxa"/>
                  <w:shd w:val="clear" w:color="auto" w:fill="auto"/>
                </w:tcPr>
                <w:p w14:paraId="6F47C379" w14:textId="77777777" w:rsidR="00A15E4E" w:rsidRDefault="00A15E4E" w:rsidP="00A15E4E">
                  <w:pPr>
                    <w:pStyle w:val="BodyA"/>
                    <w:rPr>
                      <w:rFonts w:ascii="Arial" w:eastAsia="Arial" w:hAnsi="Arial" w:cs="Arial"/>
                      <w:sz w:val="22"/>
                      <w:szCs w:val="22"/>
                      <w:u w:color="0000FF"/>
                    </w:rPr>
                  </w:pPr>
                  <w:r>
                    <w:rPr>
                      <w:rFonts w:ascii="Arial" w:hAnsi="Arial"/>
                      <w:sz w:val="22"/>
                      <w:szCs w:val="22"/>
                      <w:u w:color="0000FF"/>
                    </w:rPr>
                    <w:t xml:space="preserve">Several marine- and arthropod-hosted jingchuviral sequences have been reported over the last year (1-5). One study in particular produced </w:t>
                  </w:r>
                  <w:proofErr w:type="gramStart"/>
                  <w:r>
                    <w:rPr>
                      <w:rFonts w:ascii="Arial" w:hAnsi="Arial"/>
                      <w:sz w:val="22"/>
                      <w:szCs w:val="22"/>
                      <w:u w:color="0000FF"/>
                    </w:rPr>
                    <w:t>sequences</w:t>
                  </w:r>
                  <w:proofErr w:type="gramEnd"/>
                  <w:r>
                    <w:rPr>
                      <w:rFonts w:ascii="Arial" w:hAnsi="Arial"/>
                      <w:sz w:val="22"/>
                      <w:szCs w:val="22"/>
                      <w:u w:color="0000FF"/>
                    </w:rPr>
                    <w:t xml:space="preserve"> representing over 1,000 new viruses in a large variety of samples, including 35 viruses that map to monjiviricete order </w:t>
                  </w:r>
                  <w:r>
                    <w:rPr>
                      <w:rFonts w:ascii="Arial" w:hAnsi="Arial"/>
                      <w:i/>
                      <w:iCs/>
                      <w:sz w:val="22"/>
                      <w:szCs w:val="22"/>
                      <w:u w:color="0000FF"/>
                    </w:rPr>
                    <w:t>Jingchuvirales</w:t>
                  </w:r>
                  <w:r>
                    <w:rPr>
                      <w:rFonts w:ascii="Arial" w:hAnsi="Arial"/>
                      <w:sz w:val="22"/>
                      <w:szCs w:val="22"/>
                      <w:u w:color="0000FF"/>
                    </w:rPr>
                    <w:t xml:space="preserve"> (1). Two viruses are closely related to previously classified viruses first discovered by Käfer et al. (6) with the 1KITE project (BioProject PRJNA183205). Overall, most of the studies that genetically characterized jingchuviral-like viruses did not provide nucleoprotein sequence or did not provide a means to access the sequence publicly.</w:t>
                  </w:r>
                </w:p>
                <w:p w14:paraId="2F22EAED" w14:textId="77777777" w:rsidR="00A15E4E" w:rsidRDefault="00A15E4E" w:rsidP="00A15E4E">
                  <w:pPr>
                    <w:pStyle w:val="BodyA"/>
                    <w:rPr>
                      <w:rFonts w:ascii="Arial" w:eastAsia="Arial" w:hAnsi="Arial" w:cs="Arial"/>
                      <w:b/>
                      <w:bCs/>
                      <w:sz w:val="22"/>
                      <w:szCs w:val="22"/>
                      <w:u w:color="0000FF"/>
                    </w:rPr>
                  </w:pPr>
                </w:p>
                <w:p w14:paraId="699B4436" w14:textId="77777777" w:rsidR="00A15E4E" w:rsidRDefault="00A15E4E" w:rsidP="00A15E4E">
                  <w:pPr>
                    <w:pStyle w:val="BodyA"/>
                    <w:rPr>
                      <w:rFonts w:ascii="Arial" w:eastAsia="Arial" w:hAnsi="Arial" w:cs="Arial"/>
                      <w:b/>
                      <w:bCs/>
                      <w:sz w:val="22"/>
                      <w:szCs w:val="22"/>
                      <w:u w:color="0000FF"/>
                    </w:rPr>
                  </w:pPr>
                  <w:r>
                    <w:rPr>
                      <w:rFonts w:ascii="Arial" w:hAnsi="Arial"/>
                      <w:b/>
                      <w:bCs/>
                      <w:sz w:val="22"/>
                      <w:szCs w:val="22"/>
                      <w:u w:color="0000FF"/>
                    </w:rPr>
                    <w:t>Species</w:t>
                  </w:r>
                </w:p>
                <w:p w14:paraId="0494BBB7" w14:textId="77777777" w:rsidR="00A15E4E" w:rsidRDefault="00A15E4E" w:rsidP="00A15E4E">
                  <w:pPr>
                    <w:pStyle w:val="BodyA"/>
                    <w:rPr>
                      <w:rFonts w:ascii="Arial" w:eastAsia="Arial" w:hAnsi="Arial" w:cs="Arial"/>
                      <w:sz w:val="22"/>
                      <w:szCs w:val="22"/>
                      <w:u w:color="0000FF"/>
                    </w:rPr>
                  </w:pPr>
                  <w:r>
                    <w:rPr>
                      <w:rFonts w:ascii="Arial" w:hAnsi="Arial"/>
                      <w:sz w:val="22"/>
                      <w:szCs w:val="22"/>
                      <w:u w:color="0000FF"/>
                    </w:rPr>
                    <w:t xml:space="preserve">The 2021, a taxonomical framework for the classification of new jingchuviral species, genera, and families was ratified by the ICTV. A new species should be established if the amino acid identity of two complete RdRp protein sequences of jingchuvirals is &lt;90%. A new jingchuviral species may only be established if a </w:t>
                  </w:r>
                  <w:proofErr w:type="gramStart"/>
                  <w:r>
                    <w:rPr>
                      <w:rFonts w:ascii="Arial" w:hAnsi="Arial"/>
                      <w:sz w:val="22"/>
                      <w:szCs w:val="22"/>
                      <w:u w:color="0000FF"/>
                    </w:rPr>
                    <w:t>coding-complete</w:t>
                  </w:r>
                  <w:proofErr w:type="gramEnd"/>
                  <w:r>
                    <w:rPr>
                      <w:rFonts w:ascii="Arial" w:hAnsi="Arial"/>
                      <w:sz w:val="22"/>
                      <w:szCs w:val="22"/>
                      <w:u w:color="0000FF"/>
                    </w:rPr>
                    <w:t xml:space="preserve"> RdRp protein sequence is available for the virus to be classified. Additionally, the inclusion or removal of species depends on the presence of a complete nucleoprotein gene (N) sequence. Finally, the genomic organization should be </w:t>
                  </w:r>
                  <w:proofErr w:type="gramStart"/>
                  <w:r>
                    <w:rPr>
                      <w:rFonts w:ascii="Arial" w:hAnsi="Arial"/>
                      <w:sz w:val="22"/>
                      <w:szCs w:val="22"/>
                      <w:u w:color="0000FF"/>
                    </w:rPr>
                    <w:t>similar to</w:t>
                  </w:r>
                  <w:proofErr w:type="gramEnd"/>
                  <w:r>
                    <w:rPr>
                      <w:rFonts w:ascii="Arial" w:hAnsi="Arial"/>
                      <w:sz w:val="22"/>
                      <w:szCs w:val="22"/>
                      <w:u w:color="0000FF"/>
                    </w:rPr>
                    <w:t xml:space="preserve"> that of monjiviricetes in general and be free of any obvious assembly errors.</w:t>
                  </w:r>
                </w:p>
                <w:p w14:paraId="58F204C4" w14:textId="77777777" w:rsidR="00A15E4E" w:rsidRDefault="00A15E4E" w:rsidP="00A15E4E">
                  <w:pPr>
                    <w:pStyle w:val="BodyA"/>
                    <w:rPr>
                      <w:rFonts w:ascii="Arial" w:eastAsia="Arial" w:hAnsi="Arial" w:cs="Arial"/>
                      <w:sz w:val="22"/>
                      <w:szCs w:val="22"/>
                      <w:u w:color="0000FF"/>
                    </w:rPr>
                  </w:pPr>
                </w:p>
                <w:p w14:paraId="57ADB043" w14:textId="77777777" w:rsidR="00A15E4E" w:rsidRDefault="00A15E4E" w:rsidP="00A15E4E">
                  <w:pPr>
                    <w:pStyle w:val="BodyA"/>
                    <w:rPr>
                      <w:rFonts w:ascii="Arial" w:eastAsia="Arial" w:hAnsi="Arial" w:cs="Arial"/>
                      <w:sz w:val="22"/>
                      <w:szCs w:val="22"/>
                      <w:u w:color="0000FF"/>
                    </w:rPr>
                  </w:pPr>
                  <w:r>
                    <w:rPr>
                      <w:rFonts w:ascii="Arial" w:hAnsi="Arial"/>
                      <w:sz w:val="22"/>
                      <w:szCs w:val="22"/>
                      <w:u w:color="0000FF"/>
                    </w:rPr>
                    <w:t xml:space="preserve">From two studies (1, 3), we identified 10 viruses that fulfil these criteria (Figure 1). </w:t>
                  </w:r>
                </w:p>
                <w:p w14:paraId="3D4FEB1B" w14:textId="77777777" w:rsidR="00A15E4E" w:rsidRDefault="00A15E4E" w:rsidP="00A15E4E">
                  <w:pPr>
                    <w:pStyle w:val="BodyA"/>
                    <w:rPr>
                      <w:rFonts w:ascii="Arial" w:eastAsia="Arial" w:hAnsi="Arial" w:cs="Arial"/>
                      <w:sz w:val="22"/>
                      <w:szCs w:val="22"/>
                      <w:u w:color="0000FF"/>
                    </w:rPr>
                  </w:pPr>
                </w:p>
                <w:p w14:paraId="3DFB52CF" w14:textId="77777777" w:rsidR="00A15E4E" w:rsidRDefault="00A15E4E" w:rsidP="00A15E4E">
                  <w:pPr>
                    <w:pStyle w:val="BodyA"/>
                    <w:rPr>
                      <w:rFonts w:ascii="Arial" w:eastAsia="Arial" w:hAnsi="Arial" w:cs="Arial"/>
                      <w:b/>
                      <w:bCs/>
                      <w:sz w:val="22"/>
                      <w:szCs w:val="22"/>
                      <w:u w:color="0000FF"/>
                    </w:rPr>
                  </w:pPr>
                  <w:r>
                    <w:rPr>
                      <w:rFonts w:ascii="Arial" w:hAnsi="Arial"/>
                      <w:b/>
                      <w:bCs/>
                      <w:sz w:val="22"/>
                      <w:szCs w:val="22"/>
                      <w:u w:color="0000FF"/>
                    </w:rPr>
                    <w:t>Higher taxa</w:t>
                  </w:r>
                </w:p>
                <w:p w14:paraId="6DA4AD88" w14:textId="77777777" w:rsidR="00A15E4E" w:rsidRDefault="00A15E4E" w:rsidP="00A15E4E">
                  <w:pPr>
                    <w:pStyle w:val="BodyTextIndent"/>
                    <w:ind w:left="0" w:firstLine="0"/>
                    <w:rPr>
                      <w:rFonts w:ascii="Arial" w:eastAsia="Arial" w:hAnsi="Arial" w:cs="Arial"/>
                      <w:sz w:val="22"/>
                      <w:szCs w:val="22"/>
                      <w14:textOutline w14:w="12700" w14:cap="flat" w14:cmpd="sng" w14:algn="ctr">
                        <w14:noFill/>
                        <w14:prstDash w14:val="solid"/>
                        <w14:miter w14:lim="400000"/>
                      </w14:textOutline>
                    </w:rPr>
                  </w:pPr>
                  <w:r>
                    <w:rPr>
                      <w:rFonts w:ascii="Arial" w:hAnsi="Arial"/>
                      <w:sz w:val="22"/>
                      <w:szCs w:val="22"/>
                      <w14:textOutline w14:w="12700" w14:cap="flat" w14:cmpd="sng" w14:algn="ctr">
                        <w14:noFill/>
                        <w14:prstDash w14:val="solid"/>
                        <w14:miter w14:lim="400000"/>
                      </w14:textOutline>
                    </w:rPr>
                    <w:t>In consideration of jingchuviral percentage of identities and phylogenetic tree (Figure 1), we propose the creation of 2 new genera within the order. New genera are established when amino acid identies of complete RdRp sequences are &lt;31% but &gt;20%. All new genera that include more than one species are clustered together with well-supported nodes.</w:t>
                  </w:r>
                </w:p>
                <w:p w14:paraId="61A22E8B" w14:textId="77777777" w:rsidR="00A15E4E" w:rsidRDefault="00A15E4E" w:rsidP="00A15E4E">
                  <w:pPr>
                    <w:pStyle w:val="BodyTextIndent"/>
                    <w:ind w:left="0" w:firstLine="0"/>
                    <w:rPr>
                      <w:rFonts w:ascii="Arial" w:eastAsia="Arial" w:hAnsi="Arial" w:cs="Arial"/>
                      <w:sz w:val="22"/>
                      <w:szCs w:val="22"/>
                      <w14:textOutline w14:w="12700" w14:cap="flat" w14:cmpd="sng" w14:algn="ctr">
                        <w14:noFill/>
                        <w14:prstDash w14:val="solid"/>
                        <w14:miter w14:lim="400000"/>
                      </w14:textOutline>
                    </w:rPr>
                  </w:pPr>
                </w:p>
                <w:p w14:paraId="3171FA72" w14:textId="77777777" w:rsidR="00A174CC" w:rsidRDefault="00A15E4E" w:rsidP="00A15E4E">
                  <w:pPr>
                    <w:pStyle w:val="BodyTextIndent"/>
                    <w:ind w:left="0" w:firstLine="0"/>
                    <w:rPr>
                      <w:rFonts w:ascii="Arial" w:hAnsi="Arial"/>
                      <w:sz w:val="22"/>
                      <w:szCs w:val="22"/>
                      <w14:textOutline w14:w="12700" w14:cap="flat" w14:cmpd="sng" w14:algn="ctr">
                        <w14:noFill/>
                        <w14:prstDash w14:val="solid"/>
                        <w14:miter w14:lim="400000"/>
                      </w14:textOutline>
                    </w:rPr>
                  </w:pPr>
                  <w:r>
                    <w:rPr>
                      <w:rFonts w:ascii="Arial" w:hAnsi="Arial"/>
                      <w:b/>
                      <w:bCs/>
                      <w:sz w:val="22"/>
                      <w:szCs w:val="22"/>
                      <w14:textOutline w14:w="12700" w14:cap="flat" w14:cmpd="sng" w14:algn="ctr">
                        <w14:noFill/>
                        <w14:prstDash w14:val="solid"/>
                        <w14:miter w14:lim="400000"/>
                      </w14:textOutline>
                    </w:rPr>
                    <w:t xml:space="preserve">Etymology: </w:t>
                  </w:r>
                  <w:r>
                    <w:rPr>
                      <w:rFonts w:ascii="Arial" w:hAnsi="Arial"/>
                      <w:sz w:val="22"/>
                      <w:szCs w:val="22"/>
                      <w14:textOutline w14:w="12700" w14:cap="flat" w14:cmpd="sng" w14:algn="ctr">
                        <w14:noFill/>
                        <w14:prstDash w14:val="solid"/>
                        <w14:miter w14:lim="400000"/>
                      </w14:textOutline>
                    </w:rPr>
                    <w:t>see Excel sheet.</w:t>
                  </w:r>
                </w:p>
                <w:p w14:paraId="65917C70" w14:textId="4B37A998" w:rsidR="00A15E4E" w:rsidRPr="00A15E4E" w:rsidRDefault="00A15E4E" w:rsidP="00A15E4E">
                  <w:pPr>
                    <w:pStyle w:val="BodyTextIndent"/>
                    <w:ind w:left="0" w:firstLine="0"/>
                    <w:rPr>
                      <w:rFonts w:ascii="Arial" w:eastAsia="Arial" w:hAnsi="Arial" w:cs="Arial"/>
                      <w:sz w:val="22"/>
                      <w:szCs w:val="22"/>
                    </w:rPr>
                  </w:pPr>
                </w:p>
              </w:tc>
            </w:tr>
          </w:tbl>
          <w:p w14:paraId="09E79DFD" w14:textId="77777777" w:rsidR="00A174CC" w:rsidRDefault="00A174CC">
            <w:pPr>
              <w:rPr>
                <w:rFonts w:ascii="Arial" w:hAnsi="Arial" w:cs="Arial"/>
                <w:color w:val="0000FF"/>
                <w:sz w:val="20"/>
              </w:rPr>
            </w:pPr>
          </w:p>
        </w:tc>
      </w:tr>
    </w:tbl>
    <w:p w14:paraId="62634499" w14:textId="154B829E" w:rsidR="00A15E4E" w:rsidRDefault="00A15E4E">
      <w:pPr>
        <w:pStyle w:val="BodyTextIndent"/>
        <w:spacing w:before="120" w:after="120"/>
        <w:ind w:left="0" w:firstLine="0"/>
        <w:rPr>
          <w:rFonts w:ascii="Arial" w:hAnsi="Arial" w:cs="Arial"/>
          <w:b/>
          <w:color w:val="000000"/>
          <w:szCs w:val="24"/>
        </w:rPr>
      </w:pPr>
    </w:p>
    <w:p w14:paraId="0CDEA37F" w14:textId="5432E62C" w:rsidR="00A15E4E" w:rsidRDefault="00A15E4E">
      <w:pPr>
        <w:pStyle w:val="BodyTextIndent"/>
        <w:spacing w:before="120" w:after="120"/>
        <w:ind w:left="0" w:firstLine="0"/>
        <w:rPr>
          <w:rFonts w:ascii="Arial" w:hAnsi="Arial" w:cs="Arial"/>
          <w:b/>
          <w:color w:val="000000"/>
          <w:szCs w:val="24"/>
        </w:rPr>
      </w:pPr>
    </w:p>
    <w:p w14:paraId="3FB5182D" w14:textId="216D494C" w:rsidR="00A15E4E" w:rsidRDefault="00A15E4E">
      <w:pPr>
        <w:pStyle w:val="BodyTextIndent"/>
        <w:spacing w:before="120" w:after="120"/>
        <w:ind w:left="0" w:firstLine="0"/>
        <w:rPr>
          <w:rFonts w:ascii="Arial" w:hAnsi="Arial" w:cs="Arial"/>
          <w:b/>
          <w:color w:val="000000"/>
          <w:szCs w:val="24"/>
        </w:rPr>
      </w:pPr>
    </w:p>
    <w:p w14:paraId="78A19F01" w14:textId="77777777" w:rsidR="00A15E4E" w:rsidRDefault="00A15E4E">
      <w:pPr>
        <w:pStyle w:val="BodyTextIndent"/>
        <w:spacing w:before="120" w:after="120"/>
        <w:ind w:left="0" w:firstLine="0"/>
        <w:rPr>
          <w:rFonts w:ascii="Arial" w:hAnsi="Arial" w:cs="Arial"/>
          <w:b/>
          <w:color w:val="000000"/>
          <w:szCs w:val="24"/>
        </w:rPr>
      </w:pPr>
    </w:p>
    <w:p w14:paraId="6B5315D2" w14:textId="7CA1B32A"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0BD24768" w14:textId="1F62908C" w:rsidR="00A174CC" w:rsidRPr="0052702F" w:rsidRDefault="00A174CC">
      <w:pPr>
        <w:rPr>
          <w:rFonts w:ascii="Arial" w:hAnsi="Arial" w:cs="Arial"/>
          <w:bCs/>
          <w:sz w:val="22"/>
          <w:szCs w:val="22"/>
        </w:rPr>
      </w:pPr>
    </w:p>
    <w:p w14:paraId="1D0A1802" w14:textId="016453D3" w:rsidR="00A174CC" w:rsidRDefault="00A15E4E">
      <w:pPr>
        <w:rPr>
          <w:rFonts w:ascii="Arial" w:hAnsi="Arial" w:cs="Arial"/>
          <w:b/>
          <w:sz w:val="22"/>
          <w:szCs w:val="22"/>
        </w:rPr>
      </w:pPr>
      <w:r>
        <w:rPr>
          <w:rFonts w:ascii="Arial" w:hAnsi="Arial"/>
          <w:noProof/>
          <w:sz w:val="22"/>
          <w:szCs w:val="22"/>
          <w14:textOutline w14:w="12700" w14:cap="flat" w14:cmpd="sng" w14:algn="ctr">
            <w14:noFill/>
            <w14:prstDash w14:val="solid"/>
            <w14:miter w14:lim="400000"/>
          </w14:textOutline>
        </w:rPr>
        <w:drawing>
          <wp:inline distT="0" distB="0" distL="0" distR="0" wp14:anchorId="00F07A55" wp14:editId="2491B698">
            <wp:extent cx="5726430" cy="56311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6430" cy="5631180"/>
                    </a:xfrm>
                    <a:prstGeom prst="rect">
                      <a:avLst/>
                    </a:prstGeom>
                    <a:noFill/>
                    <a:ln>
                      <a:noFill/>
                    </a:ln>
                  </pic:spPr>
                </pic:pic>
              </a:graphicData>
            </a:graphic>
          </wp:inline>
        </w:drawing>
      </w:r>
    </w:p>
    <w:p w14:paraId="0C1879F6" w14:textId="77777777" w:rsidR="00A15E4E" w:rsidRDefault="00A15E4E">
      <w:pPr>
        <w:spacing w:before="120" w:after="120"/>
        <w:rPr>
          <w:rFonts w:ascii="Arial" w:hAnsi="Arial" w:cs="Arial"/>
          <w:b/>
        </w:rPr>
      </w:pPr>
    </w:p>
    <w:p w14:paraId="3684DFBC" w14:textId="77777777" w:rsidR="00A15E4E" w:rsidRDefault="00A15E4E" w:rsidP="00A15E4E">
      <w:pPr>
        <w:pStyle w:val="Body"/>
        <w:rPr>
          <w:rFonts w:ascii="Arial" w:eastAsia="Arial" w:hAnsi="Arial" w:cs="Arial"/>
          <w:b/>
          <w:bCs/>
          <w:sz w:val="22"/>
          <w:szCs w:val="22"/>
          <w14:textOutline w14:w="12700" w14:cap="flat" w14:cmpd="sng" w14:algn="ctr">
            <w14:noFill/>
            <w14:prstDash w14:val="solid"/>
            <w14:miter w14:lim="400000"/>
          </w14:textOutline>
        </w:rPr>
      </w:pPr>
      <w:r w:rsidRPr="00A15E4E">
        <w:rPr>
          <w:rFonts w:ascii="Arial" w:hAnsi="Arial"/>
          <w:b/>
          <w:bCs/>
          <w:sz w:val="22"/>
          <w:szCs w:val="22"/>
          <w14:textOutline w14:w="12700" w14:cap="flat" w14:cmpd="sng" w14:algn="ctr">
            <w14:noFill/>
            <w14:prstDash w14:val="solid"/>
            <w14:miter w14:lim="400000"/>
          </w14:textOutline>
        </w:rPr>
        <w:t>Figure 1.</w:t>
      </w:r>
      <w:r>
        <w:rPr>
          <w:rFonts w:ascii="Arial" w:hAnsi="Arial"/>
          <w:sz w:val="22"/>
          <w:szCs w:val="22"/>
          <w14:textOutline w14:w="12700" w14:cap="flat" w14:cmpd="sng" w14:algn="ctr">
            <w14:noFill/>
            <w14:prstDash w14:val="solid"/>
            <w14:miter w14:lim="400000"/>
          </w14:textOutline>
        </w:rPr>
        <w:t xml:space="preserve"> Maximum likelihood phylogenetic tree estimated using 58 complete RNA-directed RNA polymerase protein sequences. Sequences were initially aligned using ClustalW (7), refined using Muscle (8), and manually curated in Geneious R9 (9). Prottest (10) was used to estimate the best amino acid substitution model for the dataset (LG+I+G+F). The tree was estimated using PhyML 3.0 (11), a Subtree Pruning and Regrafting (SPR) topology searching algorithm, and aBayes branches support algorithm. Tree branches are scaled by substitutions per site. Support values are shown as decimal values. Tree tips in bold represent newly proposed jingchuviral species. Each includes a colored circle with a percentage representing the highest pairwise percent identity at the amino acid level, which guides taxonomical demarcations. Additionally, red text shoes newly proposed species and genera.</w:t>
      </w:r>
    </w:p>
    <w:p w14:paraId="2BF193FE" w14:textId="77777777" w:rsidR="00A15E4E" w:rsidRDefault="00A15E4E">
      <w:pPr>
        <w:rPr>
          <w:rFonts w:ascii="Arial" w:hAnsi="Arial" w:cs="Arial"/>
          <w:b/>
        </w:rPr>
      </w:pPr>
      <w:r>
        <w:rPr>
          <w:rFonts w:ascii="Arial" w:hAnsi="Arial" w:cs="Arial"/>
          <w:b/>
        </w:rPr>
        <w:br w:type="page"/>
      </w:r>
    </w:p>
    <w:p w14:paraId="3437A237" w14:textId="5FB488D1" w:rsidR="00A174CC" w:rsidRDefault="008815EE">
      <w:pPr>
        <w:spacing w:before="120" w:after="120"/>
        <w:rPr>
          <w:rFonts w:ascii="Arial" w:hAnsi="Arial" w:cs="Arial"/>
          <w:b/>
        </w:rPr>
      </w:pPr>
      <w:r>
        <w:rPr>
          <w:rFonts w:ascii="Arial" w:hAnsi="Arial" w:cs="Arial"/>
          <w:b/>
        </w:rPr>
        <w:lastRenderedPageBreak/>
        <w:t>References</w:t>
      </w:r>
    </w:p>
    <w:p w14:paraId="0D3C072E" w14:textId="77777777" w:rsidR="00A15E4E" w:rsidRDefault="00A15E4E" w:rsidP="00A15E4E">
      <w:pPr>
        <w:pStyle w:val="BodyA"/>
        <w:rPr>
          <w:rFonts w:ascii="Arial" w:hAnsi="Arial"/>
          <w:sz w:val="20"/>
          <w:szCs w:val="20"/>
          <w:u w:color="0000FF"/>
        </w:rPr>
      </w:pPr>
    </w:p>
    <w:p w14:paraId="36CC885F" w14:textId="6E214409" w:rsidR="00A15E4E" w:rsidRDefault="00A15E4E" w:rsidP="00A15E4E">
      <w:pPr>
        <w:pStyle w:val="BodyA"/>
        <w:rPr>
          <w:rFonts w:ascii="Arial" w:eastAsia="Arial" w:hAnsi="Arial" w:cs="Arial"/>
          <w:sz w:val="20"/>
          <w:szCs w:val="20"/>
          <w:u w:color="0000FF"/>
        </w:rPr>
      </w:pPr>
      <w:r>
        <w:rPr>
          <w:rFonts w:ascii="Arial" w:hAnsi="Arial"/>
          <w:sz w:val="20"/>
          <w:szCs w:val="20"/>
          <w:u w:color="0000FF"/>
        </w:rPr>
        <w:t>1. Wu H, Pang R, Cheng T, Xue L, Zeng H, Lei T, Chen M, Wu S, Ding Y, Zhang J, Shi M. Abundant and Diverse RNA Viruses in Insects Revealed by RNA-Seq Analysis: Ecological and Evolutionary Implications. Msystems. 2020 Aug 25;5(4).</w:t>
      </w:r>
    </w:p>
    <w:p w14:paraId="5F987EA6" w14:textId="77777777" w:rsidR="00A15E4E" w:rsidRDefault="00A15E4E" w:rsidP="00A15E4E">
      <w:pPr>
        <w:pStyle w:val="BodyA"/>
        <w:rPr>
          <w:rFonts w:ascii="Arial" w:eastAsia="Arial" w:hAnsi="Arial" w:cs="Arial"/>
          <w:sz w:val="20"/>
          <w:szCs w:val="20"/>
          <w:u w:color="0000FF"/>
        </w:rPr>
      </w:pPr>
    </w:p>
    <w:p w14:paraId="783F93D9" w14:textId="77777777" w:rsidR="00A15E4E" w:rsidRDefault="00A15E4E" w:rsidP="00A15E4E">
      <w:pPr>
        <w:pStyle w:val="BodyA"/>
        <w:rPr>
          <w:rFonts w:ascii="Arial" w:eastAsia="Arial" w:hAnsi="Arial" w:cs="Arial"/>
          <w:sz w:val="20"/>
          <w:szCs w:val="20"/>
          <w:u w:color="0000FF"/>
        </w:rPr>
      </w:pPr>
      <w:r>
        <w:rPr>
          <w:rFonts w:ascii="Arial" w:hAnsi="Arial"/>
          <w:sz w:val="20"/>
          <w:szCs w:val="20"/>
          <w:u w:color="0000FF"/>
        </w:rPr>
        <w:t>2. Zhang YY, Chen Y, Wei X, Cui J. Viromes in Marine Ecosystems Reveal Remarkable Invertebrate RNA Virus Diversity. bioRxiv. 2021 Jan 1.</w:t>
      </w:r>
    </w:p>
    <w:p w14:paraId="3A17DB1A" w14:textId="77777777" w:rsidR="00A15E4E" w:rsidRDefault="00A15E4E" w:rsidP="00A15E4E">
      <w:pPr>
        <w:pStyle w:val="BodyA"/>
        <w:rPr>
          <w:rFonts w:ascii="Arial" w:eastAsia="Arial" w:hAnsi="Arial" w:cs="Arial"/>
          <w:sz w:val="20"/>
          <w:szCs w:val="20"/>
          <w:u w:color="0000FF"/>
        </w:rPr>
      </w:pPr>
    </w:p>
    <w:p w14:paraId="403D443F" w14:textId="77777777" w:rsidR="00A15E4E" w:rsidRDefault="00A15E4E" w:rsidP="00A15E4E">
      <w:pPr>
        <w:pStyle w:val="BodyA"/>
        <w:rPr>
          <w:rFonts w:ascii="Arial" w:eastAsia="Arial" w:hAnsi="Arial" w:cs="Arial"/>
          <w:sz w:val="20"/>
          <w:szCs w:val="20"/>
          <w:u w:color="0000FF"/>
        </w:rPr>
      </w:pPr>
      <w:r>
        <w:rPr>
          <w:rFonts w:ascii="Arial" w:hAnsi="Arial"/>
          <w:sz w:val="20"/>
          <w:szCs w:val="20"/>
          <w:u w:color="0000FF"/>
        </w:rPr>
        <w:t>3. Costa VA, Mifsud JC, Gilligan D, Williamson JE, Holmes EC, Geoghegan JL. Metagenomic sequencing reveals a lack of virus exchange between native and invasive freshwater fish across the Murray–Darling Basin, Australia. Virus evolution. 2021 Jan;7(1):veab034.</w:t>
      </w:r>
    </w:p>
    <w:p w14:paraId="096FE986" w14:textId="77777777" w:rsidR="00A15E4E" w:rsidRDefault="00A15E4E" w:rsidP="00A15E4E">
      <w:pPr>
        <w:pStyle w:val="BodyA"/>
        <w:rPr>
          <w:rFonts w:ascii="Arial" w:eastAsia="Arial" w:hAnsi="Arial" w:cs="Arial"/>
          <w:sz w:val="20"/>
          <w:szCs w:val="20"/>
          <w:u w:color="0000FF"/>
        </w:rPr>
      </w:pPr>
    </w:p>
    <w:p w14:paraId="255E7BD8" w14:textId="77777777" w:rsidR="00A15E4E" w:rsidRDefault="00A15E4E" w:rsidP="00A15E4E">
      <w:pPr>
        <w:pStyle w:val="BodyA"/>
        <w:rPr>
          <w:rFonts w:ascii="Arial" w:eastAsia="Arial" w:hAnsi="Arial" w:cs="Arial"/>
          <w:sz w:val="20"/>
          <w:szCs w:val="20"/>
          <w:u w:color="0000FF"/>
        </w:rPr>
      </w:pPr>
      <w:r>
        <w:rPr>
          <w:rFonts w:ascii="Arial" w:hAnsi="Arial"/>
          <w:sz w:val="20"/>
          <w:szCs w:val="20"/>
          <w:u w:color="0000FF"/>
        </w:rPr>
        <w:t>4. Niu J, Li XL, Wu YL, Sun QZ, Zhang W, Cao M, Wang JJ. RNA virome screening in diverse but ecologically related citrus pests reveals potential virus-host interactions. Journal of invertebrate pathology. 2020 Feb 1;170:107329.</w:t>
      </w:r>
    </w:p>
    <w:p w14:paraId="34C1CFDB" w14:textId="77777777" w:rsidR="00A15E4E" w:rsidRDefault="00A15E4E" w:rsidP="00A15E4E">
      <w:pPr>
        <w:pStyle w:val="BodyA"/>
        <w:rPr>
          <w:rFonts w:ascii="Arial" w:eastAsia="Arial" w:hAnsi="Arial" w:cs="Arial"/>
          <w:sz w:val="20"/>
          <w:szCs w:val="20"/>
          <w:u w:color="0000FF"/>
        </w:rPr>
      </w:pPr>
    </w:p>
    <w:p w14:paraId="0A4FDBDB" w14:textId="77777777" w:rsidR="00A15E4E" w:rsidRDefault="00A15E4E" w:rsidP="00A15E4E">
      <w:pPr>
        <w:pStyle w:val="BodyA"/>
        <w:rPr>
          <w:rFonts w:ascii="Arial" w:eastAsia="Arial" w:hAnsi="Arial" w:cs="Arial"/>
          <w:sz w:val="20"/>
          <w:szCs w:val="20"/>
          <w:u w:color="0000FF"/>
        </w:rPr>
      </w:pPr>
      <w:r>
        <w:rPr>
          <w:rFonts w:ascii="Arial" w:hAnsi="Arial"/>
          <w:sz w:val="20"/>
          <w:szCs w:val="20"/>
          <w:u w:color="0000FF"/>
        </w:rPr>
        <w:t>5. Sameroff S, Tokarz R, Jain K, Oleynik A, Carrington CV, Lipkin WI, Oura CA. Novel quaranjavirus and other viral sequences identified from ticks parasitizing hunted wildlife in Trinidad and Tobago. Ticks and Tick-borne Diseases. 2021 Jul 1;12(4):101730.</w:t>
      </w:r>
    </w:p>
    <w:p w14:paraId="34B20520" w14:textId="77777777" w:rsidR="00A15E4E" w:rsidRDefault="00A15E4E" w:rsidP="00A15E4E">
      <w:pPr>
        <w:pStyle w:val="BodyA"/>
        <w:rPr>
          <w:rFonts w:ascii="Arial" w:eastAsia="Arial" w:hAnsi="Arial" w:cs="Arial"/>
          <w:sz w:val="20"/>
          <w:szCs w:val="20"/>
          <w:u w:color="0000FF"/>
        </w:rPr>
      </w:pPr>
    </w:p>
    <w:p w14:paraId="2C7B68AE" w14:textId="77777777" w:rsidR="00A15E4E" w:rsidRDefault="00A15E4E" w:rsidP="00A15E4E">
      <w:pPr>
        <w:pStyle w:val="BodyA"/>
        <w:rPr>
          <w:rFonts w:ascii="Arial" w:eastAsia="Arial" w:hAnsi="Arial" w:cs="Arial"/>
          <w:sz w:val="20"/>
          <w:szCs w:val="20"/>
          <w:u w:color="0000FF"/>
        </w:rPr>
      </w:pPr>
      <w:r>
        <w:rPr>
          <w:rFonts w:ascii="Arial" w:hAnsi="Arial"/>
          <w:sz w:val="20"/>
          <w:szCs w:val="20"/>
          <w:u w:color="0000FF"/>
        </w:rPr>
        <w:t>6. Käfer S, Paraskevopoulou S, Zirkel F, Wieseke N, Donath A, Petersen M, Jones TC, Liu S, Zhou X, Middendorf M, Junglen S. Re-assessing the diversity of negative strand RNA viruses in insects. PLoS pathogens. 2019 Dec 12;15(12):e1008224.</w:t>
      </w:r>
    </w:p>
    <w:p w14:paraId="156B9CB4" w14:textId="77777777" w:rsidR="00A15E4E" w:rsidRDefault="00A15E4E" w:rsidP="00A15E4E">
      <w:pPr>
        <w:pStyle w:val="BodyA"/>
        <w:rPr>
          <w:rFonts w:ascii="Arial" w:eastAsia="Arial" w:hAnsi="Arial" w:cs="Arial"/>
          <w:sz w:val="20"/>
          <w:szCs w:val="20"/>
          <w:u w:color="0000FF"/>
        </w:rPr>
      </w:pPr>
    </w:p>
    <w:p w14:paraId="5C674F6D" w14:textId="77777777" w:rsidR="00A15E4E" w:rsidRDefault="00A15E4E" w:rsidP="00A15E4E">
      <w:pPr>
        <w:pStyle w:val="BodyA"/>
        <w:rPr>
          <w:rFonts w:ascii="Arial" w:eastAsia="Arial" w:hAnsi="Arial" w:cs="Arial"/>
          <w:sz w:val="20"/>
          <w:szCs w:val="20"/>
          <w:u w:color="0000FF"/>
        </w:rPr>
      </w:pPr>
      <w:r>
        <w:rPr>
          <w:rFonts w:ascii="Arial" w:hAnsi="Arial"/>
          <w:sz w:val="20"/>
          <w:szCs w:val="20"/>
          <w:u w:color="0000FF"/>
        </w:rPr>
        <w:t>7. Thompson JD, Gibson TJ, Higgins DG. Multiple sequence alignment using ClustalW and ClustalX. Current protocols in bioinformatics. 2003 Jan(1):2-3.</w:t>
      </w:r>
    </w:p>
    <w:p w14:paraId="025EDE9F" w14:textId="77777777" w:rsidR="00A15E4E" w:rsidRDefault="00A15E4E" w:rsidP="00A15E4E">
      <w:pPr>
        <w:pStyle w:val="BodyA"/>
        <w:rPr>
          <w:rFonts w:ascii="Arial" w:eastAsia="Arial" w:hAnsi="Arial" w:cs="Arial"/>
          <w:sz w:val="20"/>
          <w:szCs w:val="20"/>
          <w:u w:color="0000FF"/>
        </w:rPr>
      </w:pPr>
    </w:p>
    <w:p w14:paraId="0C8F1AF5" w14:textId="77777777" w:rsidR="00A15E4E" w:rsidRDefault="00A15E4E" w:rsidP="00A15E4E">
      <w:pPr>
        <w:pStyle w:val="BodyA"/>
        <w:rPr>
          <w:rFonts w:ascii="Arial" w:eastAsia="Arial" w:hAnsi="Arial" w:cs="Arial"/>
          <w:sz w:val="20"/>
          <w:szCs w:val="20"/>
          <w:u w:color="0000FF"/>
        </w:rPr>
      </w:pPr>
      <w:r>
        <w:rPr>
          <w:rFonts w:ascii="Arial" w:hAnsi="Arial"/>
          <w:sz w:val="20"/>
          <w:szCs w:val="20"/>
          <w:u w:color="0000FF"/>
        </w:rPr>
        <w:t>8. Edgar RC. MUSCLE: multiple sequence alignment with high accuracy and high throughput. Nucleic acids research. 2004 Mar 1;32(5):1792-7.</w:t>
      </w:r>
    </w:p>
    <w:p w14:paraId="6909EE63" w14:textId="77777777" w:rsidR="00A15E4E" w:rsidRDefault="00A15E4E" w:rsidP="00A15E4E">
      <w:pPr>
        <w:pStyle w:val="BodyA"/>
        <w:rPr>
          <w:rFonts w:ascii="Arial" w:eastAsia="Arial" w:hAnsi="Arial" w:cs="Arial"/>
          <w:sz w:val="20"/>
          <w:szCs w:val="20"/>
          <w:u w:color="0000FF"/>
        </w:rPr>
      </w:pPr>
    </w:p>
    <w:p w14:paraId="3D0B4471" w14:textId="77777777" w:rsidR="00A15E4E" w:rsidRDefault="00A15E4E" w:rsidP="00A15E4E">
      <w:pPr>
        <w:pStyle w:val="BodyA"/>
        <w:rPr>
          <w:rFonts w:ascii="Arial" w:eastAsia="Arial" w:hAnsi="Arial" w:cs="Arial"/>
          <w:sz w:val="20"/>
          <w:szCs w:val="20"/>
          <w:u w:color="0000FF"/>
        </w:rPr>
      </w:pPr>
      <w:r>
        <w:rPr>
          <w:rFonts w:ascii="Arial" w:hAnsi="Arial"/>
          <w:sz w:val="20"/>
          <w:szCs w:val="20"/>
          <w:u w:color="0000FF"/>
        </w:rPr>
        <w:t>9. Kearse M, Moir R, Wilson A, Stones-Havas S, Cheung M, Sturrock S, Buxton S, Cooper A, Markowitz S, Duran C, Thierer T. Geneious Basic: an integrated and extendable desktop software platform for the organization and analysis of sequence data. Bioinformatics. 2012 Jun 15;28(12):1647-9.</w:t>
      </w:r>
    </w:p>
    <w:p w14:paraId="744D7099" w14:textId="77777777" w:rsidR="00A15E4E" w:rsidRDefault="00A15E4E" w:rsidP="00A15E4E">
      <w:pPr>
        <w:pStyle w:val="BodyA"/>
        <w:rPr>
          <w:rFonts w:ascii="Arial" w:eastAsia="Arial" w:hAnsi="Arial" w:cs="Arial"/>
          <w:sz w:val="20"/>
          <w:szCs w:val="20"/>
          <w:u w:color="0000FF"/>
        </w:rPr>
      </w:pPr>
    </w:p>
    <w:p w14:paraId="59E59DB5" w14:textId="77777777" w:rsidR="00A15E4E" w:rsidRDefault="00A15E4E" w:rsidP="00A15E4E">
      <w:pPr>
        <w:pStyle w:val="BodyA"/>
        <w:rPr>
          <w:rFonts w:ascii="Arial" w:eastAsia="Arial" w:hAnsi="Arial" w:cs="Arial"/>
          <w:sz w:val="20"/>
          <w:szCs w:val="20"/>
          <w:u w:color="0000FF"/>
        </w:rPr>
      </w:pPr>
      <w:r>
        <w:rPr>
          <w:rFonts w:ascii="Arial" w:hAnsi="Arial"/>
          <w:sz w:val="20"/>
          <w:szCs w:val="20"/>
          <w:u w:color="0000FF"/>
        </w:rPr>
        <w:t>10. Abascal F, Zardoya R, Posada D. ProtTest: selection of best-fit models of protein evolution. Bioinformatics. 2005 May 1;21(9):2104-5.</w:t>
      </w:r>
    </w:p>
    <w:p w14:paraId="58E019F8" w14:textId="77777777" w:rsidR="00A15E4E" w:rsidRDefault="00A15E4E" w:rsidP="00A15E4E">
      <w:pPr>
        <w:pStyle w:val="BodyA"/>
        <w:rPr>
          <w:rFonts w:ascii="Arial" w:eastAsia="Arial" w:hAnsi="Arial" w:cs="Arial"/>
          <w:sz w:val="20"/>
          <w:szCs w:val="20"/>
          <w:u w:color="0000FF"/>
        </w:rPr>
      </w:pPr>
    </w:p>
    <w:p w14:paraId="28512A8B" w14:textId="77777777" w:rsidR="00A15E4E" w:rsidRDefault="00A15E4E" w:rsidP="00A15E4E">
      <w:pPr>
        <w:pStyle w:val="BodyA"/>
      </w:pPr>
      <w:r>
        <w:rPr>
          <w:rFonts w:ascii="Arial" w:hAnsi="Arial"/>
          <w:sz w:val="20"/>
          <w:szCs w:val="20"/>
          <w:u w:color="0000FF"/>
        </w:rPr>
        <w:t xml:space="preserve">11. Guindon S, Dufayard JF, Lefort V, Anisimova M, Hordijk W, Gascuel O. New </w:t>
      </w:r>
      <w:proofErr w:type="gramStart"/>
      <w:r>
        <w:rPr>
          <w:rFonts w:ascii="Arial" w:hAnsi="Arial"/>
          <w:sz w:val="20"/>
          <w:szCs w:val="20"/>
          <w:u w:color="0000FF"/>
        </w:rPr>
        <w:t>algorithms</w:t>
      </w:r>
      <w:proofErr w:type="gramEnd"/>
      <w:r>
        <w:rPr>
          <w:rFonts w:ascii="Arial" w:hAnsi="Arial"/>
          <w:sz w:val="20"/>
          <w:szCs w:val="20"/>
          <w:u w:color="0000FF"/>
        </w:rPr>
        <w:t xml:space="preserve"> and methods to estimate maximum-likelihood phylogenies: assessing the performance of PhyML 3.0. Systematic biology. 2010 May 1;59(3):307-21.</w:t>
      </w:r>
    </w:p>
    <w:p w14:paraId="5556E8C1" w14:textId="68BC37AF" w:rsidR="00A174CC" w:rsidRPr="0052702F" w:rsidRDefault="00A174CC">
      <w:pPr>
        <w:rPr>
          <w:sz w:val="22"/>
          <w:szCs w:val="22"/>
        </w:rPr>
      </w:pPr>
    </w:p>
    <w:sectPr w:rsidR="00A174CC" w:rsidRPr="0052702F">
      <w:headerReference w:type="default" r:id="rId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E68A" w14:textId="77777777" w:rsidR="00DD2492" w:rsidRDefault="00DD2492">
      <w:r>
        <w:separator/>
      </w:r>
    </w:p>
  </w:endnote>
  <w:endnote w:type="continuationSeparator" w:id="0">
    <w:p w14:paraId="0CE0EFAD" w14:textId="77777777" w:rsidR="00DD2492" w:rsidRDefault="00DD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A91C" w14:textId="77777777" w:rsidR="00DD2492" w:rsidRDefault="00DD2492">
      <w:r>
        <w:separator/>
      </w:r>
    </w:p>
  </w:footnote>
  <w:footnote w:type="continuationSeparator" w:id="0">
    <w:p w14:paraId="1F8C2624" w14:textId="77777777" w:rsidR="00DD2492" w:rsidRDefault="00DD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090B"/>
    <w:multiLevelType w:val="hybridMultilevel"/>
    <w:tmpl w:val="E08CE084"/>
    <w:lvl w:ilvl="0" w:tplc="6EE25C00">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69FF2122"/>
    <w:multiLevelType w:val="hybridMultilevel"/>
    <w:tmpl w:val="B754C250"/>
    <w:lvl w:ilvl="0" w:tplc="F27041E0">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64196250">
    <w:abstractNumId w:val="1"/>
  </w:num>
  <w:num w:numId="2" w16cid:durableId="322045883">
    <w:abstractNumId w:val="3"/>
  </w:num>
  <w:num w:numId="3" w16cid:durableId="1363361005">
    <w:abstractNumId w:val="0"/>
  </w:num>
  <w:num w:numId="4" w16cid:durableId="1379354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8205D"/>
    <w:rsid w:val="000A146A"/>
    <w:rsid w:val="000C4527"/>
    <w:rsid w:val="000D6C92"/>
    <w:rsid w:val="000F51F4"/>
    <w:rsid w:val="000F7067"/>
    <w:rsid w:val="0013113D"/>
    <w:rsid w:val="001875DF"/>
    <w:rsid w:val="001B6096"/>
    <w:rsid w:val="00224C04"/>
    <w:rsid w:val="00254107"/>
    <w:rsid w:val="002729BC"/>
    <w:rsid w:val="00300F13"/>
    <w:rsid w:val="00320AEA"/>
    <w:rsid w:val="0037243A"/>
    <w:rsid w:val="0043110C"/>
    <w:rsid w:val="004F3196"/>
    <w:rsid w:val="0052702F"/>
    <w:rsid w:val="00543F86"/>
    <w:rsid w:val="00572954"/>
    <w:rsid w:val="005A54C3"/>
    <w:rsid w:val="005B65CB"/>
    <w:rsid w:val="006460BB"/>
    <w:rsid w:val="00670A69"/>
    <w:rsid w:val="006B464D"/>
    <w:rsid w:val="007963C5"/>
    <w:rsid w:val="008815EE"/>
    <w:rsid w:val="008F7FD8"/>
    <w:rsid w:val="00982C6C"/>
    <w:rsid w:val="009B344E"/>
    <w:rsid w:val="00A15E4E"/>
    <w:rsid w:val="00A174CC"/>
    <w:rsid w:val="00A2357C"/>
    <w:rsid w:val="00A9708C"/>
    <w:rsid w:val="00AD759B"/>
    <w:rsid w:val="00B35CC8"/>
    <w:rsid w:val="00B47589"/>
    <w:rsid w:val="00C014EA"/>
    <w:rsid w:val="00D37442"/>
    <w:rsid w:val="00DC2297"/>
    <w:rsid w:val="00DD2492"/>
    <w:rsid w:val="00E459A1"/>
    <w:rsid w:val="00F86FA5"/>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52702F"/>
    <w:rPr>
      <w:color w:val="0563C1" w:themeColor="hyperlink"/>
      <w:u w:val="single"/>
    </w:rPr>
  </w:style>
  <w:style w:type="character" w:styleId="UnresolvedMention">
    <w:name w:val="Unresolved Mention"/>
    <w:basedOn w:val="DefaultParagraphFont"/>
    <w:uiPriority w:val="99"/>
    <w:rsid w:val="0052702F"/>
    <w:rPr>
      <w:color w:val="605E5C"/>
      <w:shd w:val="clear" w:color="auto" w:fill="E1DFDD"/>
    </w:rPr>
  </w:style>
  <w:style w:type="paragraph" w:styleId="ListParagraph">
    <w:name w:val="List Paragraph"/>
    <w:basedOn w:val="Normal"/>
    <w:uiPriority w:val="34"/>
    <w:qFormat/>
    <w:rsid w:val="00320AEA"/>
    <w:pPr>
      <w:ind w:left="720"/>
      <w:contextualSpacing/>
    </w:pPr>
  </w:style>
  <w:style w:type="paragraph" w:customStyle="1" w:styleId="BodyA">
    <w:name w:val="Body A"/>
    <w:rsid w:val="00A15E4E"/>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A15E4E"/>
    <w:pPr>
      <w:pBdr>
        <w:top w:val="nil"/>
        <w:left w:val="nil"/>
        <w:bottom w:val="nil"/>
        <w:right w:val="nil"/>
        <w:between w:val="nil"/>
        <w:bar w:val="nil"/>
      </w:pBdr>
    </w:pPr>
    <w:rPr>
      <w:rFonts w:ascii="Times New Roman" w:eastAsia="Arial Unicode MS" w:hAnsi="Times New Roman" w:cs="Arial Unicode MS"/>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4876">
      <w:bodyDiv w:val="1"/>
      <w:marLeft w:val="0"/>
      <w:marRight w:val="0"/>
      <w:marTop w:val="0"/>
      <w:marBottom w:val="0"/>
      <w:divBdr>
        <w:top w:val="none" w:sz="0" w:space="0" w:color="auto"/>
        <w:left w:val="none" w:sz="0" w:space="0" w:color="auto"/>
        <w:bottom w:val="none" w:sz="0" w:space="0" w:color="auto"/>
        <w:right w:val="none" w:sz="0" w:space="0" w:color="auto"/>
      </w:divBdr>
    </w:div>
    <w:div w:id="830678144">
      <w:bodyDiv w:val="1"/>
      <w:marLeft w:val="0"/>
      <w:marRight w:val="0"/>
      <w:marTop w:val="0"/>
      <w:marBottom w:val="0"/>
      <w:divBdr>
        <w:top w:val="none" w:sz="0" w:space="0" w:color="auto"/>
        <w:left w:val="none" w:sz="0" w:space="0" w:color="auto"/>
        <w:bottom w:val="none" w:sz="0" w:space="0" w:color="auto"/>
        <w:right w:val="none" w:sz="0" w:space="0" w:color="auto"/>
      </w:divBdr>
    </w:div>
    <w:div w:id="1305046939">
      <w:bodyDiv w:val="1"/>
      <w:marLeft w:val="0"/>
      <w:marRight w:val="0"/>
      <w:marTop w:val="0"/>
      <w:marBottom w:val="0"/>
      <w:divBdr>
        <w:top w:val="none" w:sz="0" w:space="0" w:color="auto"/>
        <w:left w:val="none" w:sz="0" w:space="0" w:color="auto"/>
        <w:bottom w:val="none" w:sz="0" w:space="0" w:color="auto"/>
        <w:right w:val="none" w:sz="0" w:space="0" w:color="auto"/>
      </w:divBdr>
    </w:div>
    <w:div w:id="197984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1079</Words>
  <Characters>5810</Characters>
  <Application>Microsoft Office Word</Application>
  <DocSecurity>0</DocSecurity>
  <Lines>79</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Murilo Zerbini</cp:lastModifiedBy>
  <cp:revision>5</cp:revision>
  <dcterms:created xsi:type="dcterms:W3CDTF">2022-09-06T18:32:00Z</dcterms:created>
  <dcterms:modified xsi:type="dcterms:W3CDTF">2022-09-11T01:05:00Z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