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8BF96DF" w:rsidR="006D1B4E" w:rsidRPr="009320C8" w:rsidRDefault="00842D28" w:rsidP="00842D28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42D28">
              <w:rPr>
                <w:rFonts w:ascii="Arial" w:hAnsi="Arial" w:cs="Arial"/>
                <w:b/>
                <w:i/>
                <w:sz w:val="36"/>
                <w:szCs w:val="36"/>
              </w:rPr>
              <w:t>2018.009B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7763ED1C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706B47">
              <w:rPr>
                <w:rFonts w:ascii="Arial" w:hAnsi="Arial" w:cs="Arial"/>
                <w:b/>
                <w:i/>
              </w:rPr>
              <w:t>Bendigo</w:t>
            </w:r>
            <w:r w:rsidR="002D1A0A" w:rsidRPr="002D1A0A">
              <w:rPr>
                <w:rFonts w:ascii="Arial" w:hAnsi="Arial" w:cs="Arial"/>
                <w:b/>
                <w:i/>
              </w:rPr>
              <w:t>virus</w:t>
            </w:r>
            <w:r w:rsidR="002D1A0A">
              <w:rPr>
                <w:rFonts w:ascii="Arial" w:hAnsi="Arial" w:cs="Arial"/>
                <w:b/>
              </w:rPr>
              <w:t xml:space="preserve">, containing </w:t>
            </w:r>
            <w:r w:rsidR="00F55F56">
              <w:rPr>
                <w:rFonts w:ascii="Arial" w:hAnsi="Arial" w:cs="Arial"/>
                <w:b/>
              </w:rPr>
              <w:t>a single</w:t>
            </w:r>
            <w:r w:rsidR="002D1A0A">
              <w:rPr>
                <w:rFonts w:ascii="Arial" w:hAnsi="Arial" w:cs="Arial"/>
                <w:b/>
              </w:rPr>
              <w:t xml:space="preserve"> species in the family </w:t>
            </w:r>
            <w:r w:rsidR="002D1A0A" w:rsidRPr="002D1A0A">
              <w:rPr>
                <w:rFonts w:ascii="Arial" w:hAnsi="Arial" w:cs="Arial"/>
                <w:b/>
                <w:i/>
              </w:rPr>
              <w:t>Siphoviridae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781B9EDE" w:rsidR="00422FF0" w:rsidRPr="009320C8" w:rsidRDefault="00842D28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37D409C2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2D1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2D28" w:rsidRPr="00842D28">
              <w:rPr>
                <w:rFonts w:ascii="Arial" w:hAnsi="Arial" w:cs="Arial"/>
                <w:b/>
                <w:sz w:val="22"/>
                <w:szCs w:val="22"/>
              </w:rPr>
              <w:t>2018.009B.N.v1.Bendigovirus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614CF3A0" w:rsidR="00384F60" w:rsidRPr="007E0D4A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E0D4A">
        <w:rPr>
          <w:rFonts w:ascii="Arial" w:hAnsi="Arial" w:cs="Arial"/>
          <w:sz w:val="20"/>
          <w:szCs w:val="20"/>
          <w:lang w:val="en-GB"/>
        </w:rPr>
        <w:t xml:space="preserve">It is derived from the </w:t>
      </w:r>
      <w:r w:rsidR="00024099">
        <w:rPr>
          <w:rFonts w:ascii="Arial" w:hAnsi="Arial" w:cs="Arial"/>
          <w:sz w:val="20"/>
          <w:szCs w:val="20"/>
          <w:lang w:val="en-GB"/>
        </w:rPr>
        <w:t xml:space="preserve">name of the city where </w:t>
      </w:r>
      <w:r w:rsidR="007E0D4A">
        <w:rPr>
          <w:rFonts w:ascii="Arial" w:hAnsi="Arial" w:cs="Arial"/>
          <w:sz w:val="20"/>
          <w:szCs w:val="20"/>
          <w:lang w:val="en-GB"/>
        </w:rPr>
        <w:t>the first isolated member, Gordonia phage</w:t>
      </w:r>
      <w:r w:rsidR="00024099">
        <w:rPr>
          <w:rFonts w:ascii="Arial" w:hAnsi="Arial" w:cs="Arial"/>
          <w:sz w:val="20"/>
          <w:szCs w:val="20"/>
          <w:lang w:val="en-GB"/>
        </w:rPr>
        <w:t xml:space="preserve"> GMA6 was isolated</w:t>
      </w:r>
      <w:r w:rsidR="007E0D4A">
        <w:rPr>
          <w:rFonts w:ascii="Arial" w:hAnsi="Arial" w:cs="Arial"/>
          <w:sz w:val="20"/>
          <w:szCs w:val="20"/>
          <w:lang w:val="en-GB"/>
        </w:rPr>
        <w:t>.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12464CA9" w:rsidR="006C4A0C" w:rsidRPr="00393460" w:rsidRDefault="009A6F42" w:rsidP="00430D39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393460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7444B3">
        <w:rPr>
          <w:rFonts w:ascii="Arial" w:hAnsi="Arial" w:cs="Arial"/>
          <w:sz w:val="20"/>
          <w:szCs w:val="20"/>
          <w:lang w:val="en-GB"/>
        </w:rPr>
        <w:t>Lytic</w:t>
      </w:r>
      <w:r w:rsidR="007A43E0">
        <w:rPr>
          <w:rFonts w:ascii="Arial" w:hAnsi="Arial" w:cs="Arial"/>
          <w:sz w:val="20"/>
          <w:szCs w:val="20"/>
          <w:lang w:val="en-GB"/>
        </w:rPr>
        <w:t xml:space="preserve"> p</w:t>
      </w:r>
      <w:r w:rsidR="00393460">
        <w:rPr>
          <w:rFonts w:ascii="Arial" w:hAnsi="Arial" w:cs="Arial"/>
          <w:sz w:val="20"/>
          <w:szCs w:val="20"/>
          <w:lang w:val="en-GB"/>
        </w:rPr>
        <w:t xml:space="preserve">hage </w:t>
      </w:r>
      <w:r w:rsidR="00430D39">
        <w:rPr>
          <w:rFonts w:ascii="Arial" w:hAnsi="Arial" w:cs="Arial"/>
          <w:sz w:val="20"/>
          <w:szCs w:val="20"/>
          <w:lang w:val="en-GB"/>
        </w:rPr>
        <w:t>GMA</w:t>
      </w:r>
      <w:r w:rsidR="00706B47">
        <w:rPr>
          <w:rFonts w:ascii="Arial" w:hAnsi="Arial" w:cs="Arial"/>
          <w:sz w:val="20"/>
          <w:szCs w:val="20"/>
          <w:lang w:val="en-GB"/>
        </w:rPr>
        <w:t>6</w:t>
      </w:r>
      <w:r w:rsidR="007444B3">
        <w:rPr>
          <w:rFonts w:ascii="Arial" w:hAnsi="Arial" w:cs="Arial"/>
          <w:sz w:val="20"/>
          <w:szCs w:val="20"/>
          <w:lang w:val="en-GB"/>
        </w:rPr>
        <w:t xml:space="preserve"> </w:t>
      </w:r>
      <w:r w:rsidR="00393460">
        <w:rPr>
          <w:rFonts w:ascii="Arial" w:hAnsi="Arial" w:cs="Arial"/>
          <w:sz w:val="20"/>
          <w:szCs w:val="20"/>
          <w:lang w:val="en-GB"/>
        </w:rPr>
        <w:t>was isolated in 201</w:t>
      </w:r>
      <w:r w:rsidR="007A43E0">
        <w:rPr>
          <w:rFonts w:ascii="Arial" w:hAnsi="Arial" w:cs="Arial"/>
          <w:sz w:val="20"/>
          <w:szCs w:val="20"/>
          <w:lang w:val="en-GB"/>
        </w:rPr>
        <w:t>5</w:t>
      </w:r>
      <w:r w:rsidR="00393460">
        <w:rPr>
          <w:rFonts w:ascii="Arial" w:hAnsi="Arial" w:cs="Arial"/>
          <w:sz w:val="20"/>
          <w:szCs w:val="20"/>
          <w:lang w:val="en-GB"/>
        </w:rPr>
        <w:t xml:space="preserve"> </w:t>
      </w:r>
      <w:r w:rsidR="00430D39">
        <w:rPr>
          <w:rFonts w:ascii="Arial" w:hAnsi="Arial" w:cs="Arial"/>
          <w:sz w:val="20"/>
          <w:szCs w:val="20"/>
          <w:lang w:val="en-GB"/>
        </w:rPr>
        <w:t>from</w:t>
      </w:r>
      <w:r w:rsidR="00430D39" w:rsidRPr="00430D39">
        <w:t xml:space="preserve"> </w:t>
      </w:r>
      <w:r w:rsidR="00706B47">
        <w:rPr>
          <w:rFonts w:ascii="Arial" w:hAnsi="Arial" w:cs="Arial"/>
          <w:sz w:val="20"/>
          <w:szCs w:val="20"/>
          <w:lang w:val="en-GB"/>
        </w:rPr>
        <w:t>activated sludge</w:t>
      </w:r>
      <w:r w:rsidR="00430D39">
        <w:rPr>
          <w:rFonts w:ascii="Arial" w:hAnsi="Arial" w:cs="Arial"/>
          <w:sz w:val="20"/>
          <w:szCs w:val="20"/>
          <w:lang w:val="en-GB"/>
        </w:rPr>
        <w:t xml:space="preserve"> (</w:t>
      </w:r>
      <w:r w:rsidR="00706B47">
        <w:rPr>
          <w:rFonts w:ascii="Arial" w:hAnsi="Arial" w:cs="Arial"/>
          <w:sz w:val="20"/>
          <w:szCs w:val="20"/>
          <w:lang w:val="en-GB"/>
        </w:rPr>
        <w:t>Bendigo</w:t>
      </w:r>
      <w:r w:rsidR="00430D39" w:rsidRPr="00430D39">
        <w:rPr>
          <w:rFonts w:ascii="Arial" w:hAnsi="Arial" w:cs="Arial"/>
          <w:sz w:val="20"/>
          <w:szCs w:val="20"/>
          <w:lang w:val="en-GB"/>
        </w:rPr>
        <w:t>,</w:t>
      </w:r>
      <w:r w:rsidR="00430D39">
        <w:rPr>
          <w:rFonts w:ascii="Arial" w:hAnsi="Arial" w:cs="Arial"/>
          <w:sz w:val="20"/>
          <w:szCs w:val="20"/>
          <w:lang w:val="en-GB"/>
        </w:rPr>
        <w:t xml:space="preserve"> </w:t>
      </w:r>
      <w:r w:rsidR="00706B47">
        <w:rPr>
          <w:rFonts w:ascii="Arial" w:hAnsi="Arial" w:cs="Arial"/>
          <w:sz w:val="20"/>
          <w:szCs w:val="20"/>
          <w:lang w:val="en-GB"/>
        </w:rPr>
        <w:t xml:space="preserve">Victoria, </w:t>
      </w:r>
      <w:r w:rsidR="00430D39" w:rsidRPr="00430D39">
        <w:rPr>
          <w:rFonts w:ascii="Arial" w:hAnsi="Arial" w:cs="Arial"/>
          <w:sz w:val="20"/>
          <w:szCs w:val="20"/>
          <w:lang w:val="en-GB"/>
        </w:rPr>
        <w:t>Australia</w:t>
      </w:r>
      <w:r w:rsidR="00430D39">
        <w:rPr>
          <w:rFonts w:ascii="Arial" w:hAnsi="Arial" w:cs="Arial"/>
          <w:sz w:val="20"/>
          <w:szCs w:val="20"/>
          <w:lang w:val="en-GB"/>
        </w:rPr>
        <w:t xml:space="preserve">) </w:t>
      </w:r>
      <w:r w:rsidR="00393460">
        <w:rPr>
          <w:rFonts w:ascii="Arial" w:hAnsi="Arial" w:cs="Arial"/>
          <w:sz w:val="20"/>
          <w:szCs w:val="20"/>
          <w:lang w:val="en-GB"/>
        </w:rPr>
        <w:t xml:space="preserve">by </w:t>
      </w:r>
      <w:r w:rsidR="00430D39" w:rsidRPr="00430D39">
        <w:rPr>
          <w:rFonts w:ascii="Arial" w:hAnsi="Arial" w:cs="Arial"/>
          <w:sz w:val="20"/>
          <w:szCs w:val="20"/>
          <w:lang w:val="en-GB"/>
        </w:rPr>
        <w:t xml:space="preserve">Zoe A. Dyson, Joseph Tucci, Robert J. Seviour, </w:t>
      </w:r>
      <w:r w:rsidR="00430D39">
        <w:rPr>
          <w:rFonts w:ascii="Arial" w:hAnsi="Arial" w:cs="Arial"/>
          <w:sz w:val="20"/>
          <w:szCs w:val="20"/>
          <w:lang w:val="en-GB"/>
        </w:rPr>
        <w:t xml:space="preserve">and </w:t>
      </w:r>
      <w:r w:rsidR="00430D39" w:rsidRPr="00430D39">
        <w:rPr>
          <w:rFonts w:ascii="Arial" w:hAnsi="Arial" w:cs="Arial"/>
          <w:sz w:val="20"/>
          <w:szCs w:val="20"/>
          <w:lang w:val="en-GB"/>
        </w:rPr>
        <w:t>Steve Petrovski</w:t>
      </w:r>
      <w:r w:rsidR="00393460">
        <w:rPr>
          <w:rFonts w:ascii="Arial" w:hAnsi="Arial" w:cs="Arial"/>
          <w:sz w:val="20"/>
          <w:szCs w:val="20"/>
          <w:lang w:val="en-GB"/>
        </w:rPr>
        <w:t xml:space="preserve"> in </w:t>
      </w:r>
      <w:r w:rsidR="00430D39" w:rsidRPr="00430D39">
        <w:rPr>
          <w:rFonts w:ascii="Arial" w:hAnsi="Arial" w:cs="Arial"/>
          <w:sz w:val="20"/>
          <w:szCs w:val="20"/>
          <w:lang w:val="en-GB"/>
        </w:rPr>
        <w:t>La Trobe University</w:t>
      </w:r>
      <w:r w:rsidR="00430D39">
        <w:rPr>
          <w:rFonts w:ascii="Arial" w:hAnsi="Arial" w:cs="Arial"/>
          <w:sz w:val="20"/>
          <w:szCs w:val="20"/>
          <w:lang w:val="en-GB"/>
        </w:rPr>
        <w:t xml:space="preserve"> (</w:t>
      </w:r>
      <w:r w:rsidR="00430D39" w:rsidRPr="00430D39">
        <w:rPr>
          <w:rFonts w:ascii="Arial" w:hAnsi="Arial" w:cs="Arial"/>
          <w:sz w:val="20"/>
          <w:szCs w:val="20"/>
          <w:lang w:val="en-GB"/>
        </w:rPr>
        <w:t>Bundoora, Victoria, Australia</w:t>
      </w:r>
      <w:r w:rsidR="00430D39">
        <w:rPr>
          <w:rFonts w:ascii="Arial" w:hAnsi="Arial" w:cs="Arial"/>
          <w:sz w:val="20"/>
          <w:szCs w:val="20"/>
          <w:lang w:val="en-GB"/>
        </w:rPr>
        <w:t>)</w:t>
      </w:r>
      <w:r w:rsidR="00393460">
        <w:rPr>
          <w:rFonts w:ascii="Arial" w:hAnsi="Arial" w:cs="Arial"/>
          <w:sz w:val="20"/>
          <w:szCs w:val="20"/>
          <w:lang w:val="en-GB"/>
        </w:rPr>
        <w:t xml:space="preserve"> using </w:t>
      </w:r>
      <w:r w:rsidR="00393460" w:rsidRPr="00393460">
        <w:rPr>
          <w:rFonts w:ascii="Arial" w:hAnsi="Arial" w:cs="Arial"/>
          <w:sz w:val="20"/>
          <w:szCs w:val="20"/>
          <w:lang w:val="en-GB"/>
        </w:rPr>
        <w:t xml:space="preserve">Gordonia </w:t>
      </w:r>
      <w:r w:rsidR="00430D39" w:rsidRPr="00430D39">
        <w:rPr>
          <w:rFonts w:ascii="Arial" w:hAnsi="Arial" w:cs="Arial"/>
          <w:sz w:val="20"/>
          <w:szCs w:val="20"/>
          <w:lang w:val="en-GB"/>
        </w:rPr>
        <w:t>malaquae</w:t>
      </w:r>
      <w:r w:rsidR="00393460" w:rsidRPr="00393460">
        <w:rPr>
          <w:rFonts w:ascii="Arial" w:hAnsi="Arial" w:cs="Arial"/>
          <w:sz w:val="20"/>
          <w:szCs w:val="20"/>
          <w:lang w:val="en-GB"/>
        </w:rPr>
        <w:t xml:space="preserve"> </w:t>
      </w:r>
      <w:r w:rsidR="00393460">
        <w:rPr>
          <w:rFonts w:ascii="Arial" w:hAnsi="Arial" w:cs="Arial"/>
          <w:sz w:val="20"/>
          <w:szCs w:val="20"/>
          <w:lang w:val="en-GB"/>
        </w:rPr>
        <w:t xml:space="preserve">as the host bacterium. </w:t>
      </w:r>
      <w:r w:rsidR="00430D39">
        <w:rPr>
          <w:rFonts w:ascii="Arial" w:hAnsi="Arial" w:cs="Arial"/>
          <w:sz w:val="20"/>
          <w:szCs w:val="20"/>
          <w:lang w:val="en-GB"/>
        </w:rPr>
        <w:t xml:space="preserve"> It also lyses </w:t>
      </w:r>
      <w:r w:rsidR="00393460">
        <w:rPr>
          <w:rFonts w:ascii="Arial" w:hAnsi="Arial" w:cs="Arial"/>
          <w:sz w:val="20"/>
          <w:szCs w:val="20"/>
          <w:lang w:val="en-GB"/>
        </w:rPr>
        <w:t xml:space="preserve"> </w:t>
      </w:r>
      <w:r w:rsidR="00430D39" w:rsidRPr="00430D39">
        <w:rPr>
          <w:rFonts w:ascii="Arial" w:hAnsi="Arial" w:cs="Arial"/>
          <w:sz w:val="20"/>
          <w:szCs w:val="20"/>
          <w:lang w:val="en-GB"/>
        </w:rPr>
        <w:t>G. terrae</w:t>
      </w:r>
      <w:r w:rsidR="00430D39">
        <w:rPr>
          <w:rFonts w:ascii="Arial" w:hAnsi="Arial" w:cs="Arial"/>
          <w:sz w:val="20"/>
          <w:szCs w:val="20"/>
          <w:lang w:val="en-GB"/>
        </w:rPr>
        <w:t xml:space="preserve">. </w:t>
      </w:r>
      <w:r w:rsidR="00393460">
        <w:rPr>
          <w:rFonts w:ascii="Arial" w:hAnsi="Arial" w:cs="Arial"/>
          <w:sz w:val="20"/>
          <w:szCs w:val="20"/>
          <w:lang w:val="en-GB"/>
        </w:rPr>
        <w:t xml:space="preserve">The phages in this genus belong to </w:t>
      </w:r>
      <w:r w:rsidR="007A43E0">
        <w:rPr>
          <w:rFonts w:ascii="Arial" w:hAnsi="Arial" w:cs="Arial"/>
          <w:sz w:val="20"/>
          <w:szCs w:val="20"/>
          <w:lang w:val="en-GB"/>
        </w:rPr>
        <w:t>c</w:t>
      </w:r>
      <w:r w:rsidR="00393460">
        <w:rPr>
          <w:rFonts w:ascii="Arial" w:hAnsi="Arial" w:cs="Arial"/>
          <w:sz w:val="20"/>
          <w:szCs w:val="20"/>
          <w:lang w:val="en-GB"/>
        </w:rPr>
        <w:t xml:space="preserve">luster </w:t>
      </w:r>
      <w:r w:rsidR="007444B3">
        <w:rPr>
          <w:rFonts w:ascii="Arial" w:hAnsi="Arial" w:cs="Arial"/>
          <w:sz w:val="20"/>
          <w:szCs w:val="20"/>
          <w:lang w:val="en-GB"/>
        </w:rPr>
        <w:t>D</w:t>
      </w:r>
      <w:r w:rsidR="00706B47">
        <w:rPr>
          <w:rFonts w:ascii="Arial" w:hAnsi="Arial" w:cs="Arial"/>
          <w:sz w:val="20"/>
          <w:szCs w:val="20"/>
          <w:lang w:val="en-GB"/>
        </w:rPr>
        <w:t>Q</w:t>
      </w:r>
      <w:r w:rsidR="00393460">
        <w:rPr>
          <w:rFonts w:ascii="Arial" w:hAnsi="Arial" w:cs="Arial"/>
          <w:sz w:val="20"/>
          <w:szCs w:val="20"/>
          <w:lang w:val="en-GB"/>
        </w:rPr>
        <w:t xml:space="preserve"> in </w:t>
      </w:r>
      <w:r w:rsidR="0045691B">
        <w:rPr>
          <w:rFonts w:ascii="Arial" w:hAnsi="Arial" w:cs="Arial"/>
          <w:sz w:val="20"/>
          <w:szCs w:val="20"/>
          <w:lang w:val="en-GB"/>
        </w:rPr>
        <w:t>T</w:t>
      </w:r>
      <w:r w:rsidR="00393460">
        <w:rPr>
          <w:rFonts w:ascii="Arial" w:hAnsi="Arial" w:cs="Arial"/>
          <w:sz w:val="20"/>
          <w:szCs w:val="20"/>
          <w:lang w:val="en-GB"/>
        </w:rPr>
        <w:t>he Actinobacteriophage Data</w:t>
      </w:r>
      <w:r w:rsidR="0045691B">
        <w:rPr>
          <w:rFonts w:ascii="Arial" w:hAnsi="Arial" w:cs="Arial"/>
          <w:sz w:val="20"/>
          <w:szCs w:val="20"/>
          <w:lang w:val="en-GB"/>
        </w:rPr>
        <w:t xml:space="preserve">base.  </w:t>
      </w:r>
      <w:r w:rsidR="00706B47">
        <w:rPr>
          <w:rFonts w:ascii="Arial" w:hAnsi="Arial" w:cs="Arial"/>
          <w:sz w:val="20"/>
          <w:szCs w:val="20"/>
          <w:lang w:val="en-GB"/>
        </w:rPr>
        <w:t>Morphologically the head diameter is 62 nm and the tail length is 143 nm [1].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70"/>
        <w:gridCol w:w="1463"/>
        <w:gridCol w:w="925"/>
        <w:gridCol w:w="931"/>
        <w:gridCol w:w="984"/>
        <w:gridCol w:w="933"/>
      </w:tblGrid>
      <w:tr w:rsidR="00F55F56" w:rsidRPr="008E7E3B" w14:paraId="74EE6D34" w14:textId="34074BB5" w:rsidTr="00E24E9F">
        <w:tc>
          <w:tcPr>
            <w:tcW w:w="1561" w:type="dxa"/>
          </w:tcPr>
          <w:p w14:paraId="61BA04C0" w14:textId="77777777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570" w:type="dxa"/>
          </w:tcPr>
          <w:p w14:paraId="051E5A2B" w14:textId="18F4FD32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463" w:type="dxa"/>
          </w:tcPr>
          <w:p w14:paraId="385514DD" w14:textId="55CF19D1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25" w:type="dxa"/>
          </w:tcPr>
          <w:p w14:paraId="330E3754" w14:textId="77777777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31" w:type="dxa"/>
          </w:tcPr>
          <w:p w14:paraId="436D7193" w14:textId="77777777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984" w:type="dxa"/>
          </w:tcPr>
          <w:p w14:paraId="58AAE8FF" w14:textId="77777777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33" w:type="dxa"/>
          </w:tcPr>
          <w:p w14:paraId="2FB95B40" w14:textId="77777777" w:rsidR="00F55F56" w:rsidRPr="008E7E3B" w:rsidRDefault="00F55F56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941E93" w:rsidRPr="008E7E3B" w14:paraId="7986ECD9" w14:textId="19D1A438" w:rsidTr="00E24E9F">
        <w:tc>
          <w:tcPr>
            <w:tcW w:w="1561" w:type="dxa"/>
          </w:tcPr>
          <w:p w14:paraId="79E0649D" w14:textId="2336583D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GMA6</w:t>
            </w:r>
          </w:p>
        </w:tc>
        <w:tc>
          <w:tcPr>
            <w:tcW w:w="1570" w:type="dxa"/>
            <w:vAlign w:val="center"/>
          </w:tcPr>
          <w:p w14:paraId="5DE053B3" w14:textId="506D4AB7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E93">
              <w:t>NC_030906.1</w:t>
            </w:r>
          </w:p>
        </w:tc>
        <w:tc>
          <w:tcPr>
            <w:tcW w:w="1463" w:type="dxa"/>
            <w:vAlign w:val="center"/>
          </w:tcPr>
          <w:p w14:paraId="3080DDA3" w14:textId="2CB399CF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E93">
              <w:t>KR063280.1</w:t>
            </w:r>
          </w:p>
        </w:tc>
        <w:tc>
          <w:tcPr>
            <w:tcW w:w="925" w:type="dxa"/>
            <w:vAlign w:val="center"/>
          </w:tcPr>
          <w:p w14:paraId="5AC380C4" w14:textId="6DF6FDEF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83.3</w:t>
            </w:r>
          </w:p>
        </w:tc>
        <w:tc>
          <w:tcPr>
            <w:tcW w:w="931" w:type="dxa"/>
            <w:vAlign w:val="center"/>
          </w:tcPr>
          <w:p w14:paraId="192FD525" w14:textId="57293C92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58.2</w:t>
            </w:r>
          </w:p>
        </w:tc>
        <w:tc>
          <w:tcPr>
            <w:tcW w:w="984" w:type="dxa"/>
            <w:vAlign w:val="center"/>
          </w:tcPr>
          <w:p w14:paraId="5B109C2B" w14:textId="421D0288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115</w:t>
            </w:r>
          </w:p>
        </w:tc>
        <w:tc>
          <w:tcPr>
            <w:tcW w:w="933" w:type="dxa"/>
            <w:vAlign w:val="center"/>
          </w:tcPr>
          <w:p w14:paraId="27441283" w14:textId="0E139F63" w:rsidR="00941E93" w:rsidRPr="008E7E3B" w:rsidRDefault="00941E93" w:rsidP="00941E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0</w:t>
            </w:r>
          </w:p>
        </w:tc>
      </w:tr>
    </w:tbl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538511F" w14:textId="75DD2296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BLASTN homologs:  </w:t>
      </w:r>
      <w:r w:rsidR="00BC0230">
        <w:rPr>
          <w:rFonts w:ascii="Arial" w:hAnsi="Arial" w:cs="Arial"/>
          <w:sz w:val="20"/>
          <w:szCs w:val="20"/>
          <w:lang w:val="en-GB"/>
        </w:rPr>
        <w:t xml:space="preserve">Phage </w:t>
      </w:r>
      <w:r w:rsidR="00430D39">
        <w:rPr>
          <w:rFonts w:ascii="Arial" w:hAnsi="Arial" w:cs="Arial"/>
          <w:sz w:val="20"/>
          <w:szCs w:val="20"/>
          <w:lang w:val="en-GB"/>
        </w:rPr>
        <w:t>GMA</w:t>
      </w:r>
      <w:r w:rsidR="00941E93">
        <w:rPr>
          <w:rFonts w:ascii="Arial" w:hAnsi="Arial" w:cs="Arial"/>
          <w:sz w:val="20"/>
          <w:szCs w:val="20"/>
          <w:lang w:val="en-GB"/>
        </w:rPr>
        <w:t>6</w:t>
      </w:r>
      <w:r w:rsidR="00BC0230">
        <w:rPr>
          <w:rFonts w:ascii="Arial" w:hAnsi="Arial" w:cs="Arial"/>
          <w:sz w:val="20"/>
          <w:szCs w:val="20"/>
          <w:lang w:val="en-GB"/>
        </w:rPr>
        <w:t xml:space="preserve"> is a genomic orphan/singleton.  </w:t>
      </w:r>
    </w:p>
    <w:p w14:paraId="5C8CB58D" w14:textId="77777777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93B114D" w14:textId="19C64FF4" w:rsidR="005278F6" w:rsidRPr="0005016D" w:rsidRDefault="005278F6" w:rsidP="00430D3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Electron micrograph: </w:t>
      </w:r>
      <w:r w:rsidR="00E16741">
        <w:rPr>
          <w:rFonts w:ascii="Arial" w:hAnsi="Arial" w:cs="Arial"/>
          <w:sz w:val="20"/>
          <w:szCs w:val="20"/>
          <w:lang w:val="en-GB"/>
        </w:rPr>
        <w:t>See Reference [1].</w:t>
      </w:r>
    </w:p>
    <w:p w14:paraId="3A135D30" w14:textId="723D16E2" w:rsidR="005278F6" w:rsidRDefault="005278F6" w:rsidP="00BC0230">
      <w:pPr>
        <w:jc w:val="center"/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B191CB" w14:textId="130EEAC3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3EAC658" w14:textId="77777777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0C7D185" w14:textId="56223313" w:rsidR="005278F6" w:rsidRDefault="005278F6" w:rsidP="005278F6">
      <w:pPr>
        <w:jc w:val="center"/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CBDB3F4" w14:textId="4E676229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4AD9346" w14:textId="58C9D23D" w:rsidR="005278F6" w:rsidRDefault="005278F6" w:rsidP="005278F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Phylogeny: </w:t>
      </w:r>
      <w:r>
        <w:rPr>
          <w:rFonts w:ascii="Arial" w:hAnsi="Arial" w:cs="Arial"/>
          <w:sz w:val="20"/>
          <w:szCs w:val="20"/>
          <w:lang w:val="en-GB"/>
        </w:rPr>
        <w:t>The phylogenetic tree was constructed, using phylogeny.fr, using the major capsid protein homologs of these and related phages.</w:t>
      </w:r>
    </w:p>
    <w:p w14:paraId="403E200B" w14:textId="60278ADE" w:rsidR="009320C8" w:rsidRDefault="00E16741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7F9A" wp14:editId="79E2C5D6">
                <wp:simplePos x="0" y="0"/>
                <wp:positionH relativeFrom="margin">
                  <wp:posOffset>2255520</wp:posOffset>
                </wp:positionH>
                <wp:positionV relativeFrom="paragraph">
                  <wp:posOffset>175260</wp:posOffset>
                </wp:positionV>
                <wp:extent cx="3459480" cy="243840"/>
                <wp:effectExtent l="19050" t="1905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9F251" id="Rectangle 5" o:spid="_x0000_s1026" style="position:absolute;margin-left:177.6pt;margin-top:13.8pt;width:272.4pt;height:1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</w:p>
    <w:p w14:paraId="2A600C0E" w14:textId="338DC0BB" w:rsidR="00AA601F" w:rsidRDefault="00E16741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B8C8B17" wp14:editId="4866E406">
            <wp:extent cx="6007735" cy="162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27EB8" w14:textId="77777777" w:rsidR="00A43112" w:rsidRPr="00A43112" w:rsidRDefault="00A43112" w:rsidP="00A4311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43112">
              <w:rPr>
                <w:rFonts w:ascii="Times New Roman" w:hAnsi="Times New Roman"/>
                <w:color w:val="000000"/>
              </w:rPr>
              <w:t>1: Dyson ZA, Tucci J, Seviour RJ, Petrovski S. Lysis to Kill: Evaluation of the</w:t>
            </w:r>
          </w:p>
          <w:p w14:paraId="7A040F17" w14:textId="77777777" w:rsidR="00A43112" w:rsidRPr="00A43112" w:rsidRDefault="00A43112" w:rsidP="00A4311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43112">
              <w:rPr>
                <w:rFonts w:ascii="Times New Roman" w:hAnsi="Times New Roman"/>
                <w:color w:val="000000"/>
              </w:rPr>
              <w:t xml:space="preserve">Lytic Abilities, and Genomics of Nine Bacteriophages Infective for Gordonia spp. </w:t>
            </w:r>
          </w:p>
          <w:p w14:paraId="08C3D2AE" w14:textId="77777777" w:rsidR="00A43112" w:rsidRPr="00A43112" w:rsidRDefault="00A43112" w:rsidP="00A4311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43112">
              <w:rPr>
                <w:rFonts w:ascii="Times New Roman" w:hAnsi="Times New Roman"/>
                <w:color w:val="000000"/>
              </w:rPr>
              <w:t>and Their Potential Use in Activated Sludge Foam Biocontrol. PLoS One. 2015 Aug</w:t>
            </w:r>
          </w:p>
          <w:p w14:paraId="7FB996D1" w14:textId="5B761149" w:rsidR="00AA601F" w:rsidRPr="00C61931" w:rsidRDefault="00A43112" w:rsidP="00A4311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43112">
              <w:rPr>
                <w:rFonts w:ascii="Times New Roman" w:hAnsi="Times New Roman"/>
                <w:color w:val="000000"/>
              </w:rPr>
              <w:t>4;10(8):e0134512.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EAB6" w14:textId="77777777" w:rsidR="00F12CE8" w:rsidRDefault="00F12CE8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5137714" w14:textId="77777777" w:rsidR="00F12CE8" w:rsidRDefault="00F12CE8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42D28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42D28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8872C" w14:textId="77777777" w:rsidR="00F12CE8" w:rsidRDefault="00F12CE8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3500A4D8" w14:textId="77777777" w:rsidR="00F12CE8" w:rsidRDefault="00F12CE8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24099"/>
    <w:rsid w:val="000315E5"/>
    <w:rsid w:val="00034DE5"/>
    <w:rsid w:val="000360CB"/>
    <w:rsid w:val="000420CB"/>
    <w:rsid w:val="0004304B"/>
    <w:rsid w:val="0005016D"/>
    <w:rsid w:val="00072CC5"/>
    <w:rsid w:val="00074DD1"/>
    <w:rsid w:val="00093DD3"/>
    <w:rsid w:val="000A1912"/>
    <w:rsid w:val="000A6DE3"/>
    <w:rsid w:val="000A7F1C"/>
    <w:rsid w:val="000B695F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40925"/>
    <w:rsid w:val="001551A8"/>
    <w:rsid w:val="001578A6"/>
    <w:rsid w:val="001664DF"/>
    <w:rsid w:val="0017329D"/>
    <w:rsid w:val="00173983"/>
    <w:rsid w:val="0017739A"/>
    <w:rsid w:val="001811B7"/>
    <w:rsid w:val="00185699"/>
    <w:rsid w:val="001923AE"/>
    <w:rsid w:val="001946B2"/>
    <w:rsid w:val="001B5FD7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1F27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1A0A"/>
    <w:rsid w:val="002E36D5"/>
    <w:rsid w:val="00304104"/>
    <w:rsid w:val="00306A5E"/>
    <w:rsid w:val="00310267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934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30D39"/>
    <w:rsid w:val="004435EC"/>
    <w:rsid w:val="00444E1E"/>
    <w:rsid w:val="00447321"/>
    <w:rsid w:val="0044774D"/>
    <w:rsid w:val="0045691B"/>
    <w:rsid w:val="004710EC"/>
    <w:rsid w:val="0047500D"/>
    <w:rsid w:val="004937AC"/>
    <w:rsid w:val="00494623"/>
    <w:rsid w:val="004A350D"/>
    <w:rsid w:val="004A3DAC"/>
    <w:rsid w:val="004A5891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78F6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0111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06B47"/>
    <w:rsid w:val="007135C0"/>
    <w:rsid w:val="00715B64"/>
    <w:rsid w:val="00717C7D"/>
    <w:rsid w:val="00720D17"/>
    <w:rsid w:val="00724281"/>
    <w:rsid w:val="00724490"/>
    <w:rsid w:val="00735FAA"/>
    <w:rsid w:val="00736F49"/>
    <w:rsid w:val="0073793D"/>
    <w:rsid w:val="007444B3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43E0"/>
    <w:rsid w:val="007A5735"/>
    <w:rsid w:val="007C1657"/>
    <w:rsid w:val="007C793A"/>
    <w:rsid w:val="007C7E0E"/>
    <w:rsid w:val="007D246C"/>
    <w:rsid w:val="007D4C57"/>
    <w:rsid w:val="007D6DB6"/>
    <w:rsid w:val="007E0D4A"/>
    <w:rsid w:val="007E1823"/>
    <w:rsid w:val="007E6C07"/>
    <w:rsid w:val="007F27CC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2D28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6FB7"/>
    <w:rsid w:val="00926A4D"/>
    <w:rsid w:val="009320C8"/>
    <w:rsid w:val="0093622B"/>
    <w:rsid w:val="00941E93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2A62"/>
    <w:rsid w:val="00A03AA4"/>
    <w:rsid w:val="00A11ACF"/>
    <w:rsid w:val="00A26EB0"/>
    <w:rsid w:val="00A27567"/>
    <w:rsid w:val="00A36B4E"/>
    <w:rsid w:val="00A4106E"/>
    <w:rsid w:val="00A43112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4F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C0230"/>
    <w:rsid w:val="00BC4C01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178A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020D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19A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16741"/>
    <w:rsid w:val="00E24E9F"/>
    <w:rsid w:val="00E30A69"/>
    <w:rsid w:val="00E347C2"/>
    <w:rsid w:val="00E36F9D"/>
    <w:rsid w:val="00E4413A"/>
    <w:rsid w:val="00E53618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D619C"/>
    <w:rsid w:val="00EF6615"/>
    <w:rsid w:val="00EF7D67"/>
    <w:rsid w:val="00F00D95"/>
    <w:rsid w:val="00F038BC"/>
    <w:rsid w:val="00F050DB"/>
    <w:rsid w:val="00F071D8"/>
    <w:rsid w:val="00F12CE8"/>
    <w:rsid w:val="00F16C39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55F56"/>
    <w:rsid w:val="00F60789"/>
    <w:rsid w:val="00F60BB5"/>
    <w:rsid w:val="00F657DF"/>
    <w:rsid w:val="00F66DA7"/>
    <w:rsid w:val="00F74991"/>
    <w:rsid w:val="00F74D87"/>
    <w:rsid w:val="00F75308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4868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2018-05-09T18:26:00Z</dcterms:created>
  <dcterms:modified xsi:type="dcterms:W3CDTF">2018-05-09T18:26:00Z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