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AF8BDBB" w:rsidR="006D1B4E" w:rsidRPr="009320C8" w:rsidRDefault="008C373B" w:rsidP="008C373B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C373B">
              <w:rPr>
                <w:rFonts w:ascii="Arial" w:hAnsi="Arial" w:cs="Arial"/>
                <w:b/>
                <w:i/>
                <w:sz w:val="36"/>
                <w:szCs w:val="36"/>
              </w:rPr>
              <w:t>2018.110B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31784988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AF5D20" w:rsidRPr="00C21252">
              <w:rPr>
                <w:rFonts w:ascii="Arial" w:hAnsi="Arial" w:cs="Arial"/>
                <w:b/>
              </w:rPr>
              <w:t xml:space="preserve">To create one (1) new genus, </w:t>
            </w:r>
            <w:r w:rsidR="00AC16B3">
              <w:rPr>
                <w:rFonts w:ascii="Arial" w:hAnsi="Arial" w:cs="Arial"/>
                <w:b/>
                <w:i/>
              </w:rPr>
              <w:t>P</w:t>
            </w:r>
            <w:r w:rsidR="0046297B">
              <w:rPr>
                <w:rFonts w:ascii="Arial" w:hAnsi="Arial" w:cs="Arial"/>
                <w:b/>
                <w:i/>
              </w:rPr>
              <w:t>himunavirus</w:t>
            </w:r>
            <w:r w:rsidR="00AF5D20" w:rsidRPr="00C21252">
              <w:rPr>
                <w:rFonts w:ascii="Arial" w:hAnsi="Arial" w:cs="Arial"/>
                <w:b/>
              </w:rPr>
              <w:t xml:space="preserve">, containing </w:t>
            </w:r>
            <w:r w:rsidR="0046297B">
              <w:rPr>
                <w:rFonts w:ascii="Arial" w:hAnsi="Arial" w:cs="Arial"/>
                <w:b/>
              </w:rPr>
              <w:t>four (4)</w:t>
            </w:r>
            <w:r w:rsidR="00AF5D20" w:rsidRPr="00C21252">
              <w:rPr>
                <w:rFonts w:ascii="Arial" w:hAnsi="Arial" w:cs="Arial"/>
                <w:b/>
              </w:rPr>
              <w:t xml:space="preserve"> species in the </w:t>
            </w:r>
            <w:r w:rsidR="0037196B">
              <w:rPr>
                <w:rFonts w:ascii="Arial" w:hAnsi="Arial" w:cs="Arial"/>
                <w:b/>
              </w:rPr>
              <w:t xml:space="preserve">subfamily </w:t>
            </w:r>
            <w:r w:rsidR="0037196B" w:rsidRPr="0037196B">
              <w:rPr>
                <w:rFonts w:ascii="Arial" w:hAnsi="Arial" w:cs="Arial"/>
                <w:b/>
                <w:i/>
              </w:rPr>
              <w:t>Autographivirinae</w:t>
            </w:r>
            <w:r w:rsidR="0037196B">
              <w:rPr>
                <w:rFonts w:ascii="Arial" w:hAnsi="Arial" w:cs="Arial"/>
                <w:b/>
              </w:rPr>
              <w:t xml:space="preserve">, </w:t>
            </w:r>
            <w:r w:rsidR="00AF5D20" w:rsidRPr="0037196B">
              <w:rPr>
                <w:rFonts w:ascii="Arial" w:hAnsi="Arial" w:cs="Arial"/>
                <w:b/>
              </w:rPr>
              <w:t>family</w:t>
            </w:r>
            <w:r w:rsidR="00AF5D20" w:rsidRPr="00C21252">
              <w:rPr>
                <w:rFonts w:ascii="Arial" w:hAnsi="Arial" w:cs="Arial"/>
                <w:b/>
              </w:rPr>
              <w:t xml:space="preserve"> </w:t>
            </w:r>
            <w:r w:rsidR="0046297B">
              <w:rPr>
                <w:rFonts w:ascii="Arial" w:hAnsi="Arial" w:cs="Arial"/>
                <w:b/>
                <w:i/>
              </w:rPr>
              <w:t>Podoviridae</w:t>
            </w:r>
          </w:p>
          <w:p w14:paraId="3F7DBDD3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F10" w14:textId="26D1814E" w:rsidR="0046297B" w:rsidRDefault="0046297B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Buttimer, Cork Institute of Technology</w:t>
            </w:r>
            <w:r w:rsidR="00E640CA">
              <w:rPr>
                <w:rFonts w:ascii="Arial" w:hAnsi="Arial" w:cs="Arial"/>
                <w:color w:val="000000"/>
              </w:rPr>
              <w:t xml:space="preserve"> (Ireland)</w:t>
            </w:r>
          </w:p>
          <w:p w14:paraId="7839011C" w14:textId="419FE5F6" w:rsidR="0046297B" w:rsidRDefault="0046297B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Turner, University of the West of England, Bristol</w:t>
            </w:r>
            <w:r w:rsidR="00E640CA">
              <w:rPr>
                <w:rFonts w:ascii="Arial" w:hAnsi="Arial" w:cs="Arial"/>
                <w:color w:val="000000"/>
              </w:rPr>
              <w:t xml:space="preserve"> (UK)</w:t>
            </w:r>
          </w:p>
          <w:p w14:paraId="3A62DCAC" w14:textId="2C67B844" w:rsidR="00513671" w:rsidRDefault="00513671" w:rsidP="00513671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Aidan Coffey, Cork Institute of Technology (Ireland)</w:t>
            </w:r>
          </w:p>
          <w:p w14:paraId="2E45E8E2" w14:textId="6F4F8E27" w:rsidR="00D26A77" w:rsidRDefault="00D26A77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Horst Neve, Max Rubner-Institut (Germany)</w:t>
            </w:r>
          </w:p>
          <w:p w14:paraId="1FD307EC" w14:textId="4EF6F6F7" w:rsidR="00636B14" w:rsidRDefault="00AF5D20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  <w:r w:rsidR="00E640CA">
              <w:rPr>
                <w:rFonts w:ascii="Arial" w:hAnsi="Arial" w:cs="Arial"/>
                <w:color w:val="000000"/>
              </w:rPr>
              <w:t xml:space="preserve"> (Canada)</w:t>
            </w:r>
          </w:p>
          <w:p w14:paraId="43046FB6" w14:textId="6660980C" w:rsidR="00AF5D20" w:rsidRPr="009320C8" w:rsidRDefault="00AF5D20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Evelien Adriaenssens, University of Liverpool </w:t>
            </w:r>
            <w:r w:rsidR="00E640CA">
              <w:rPr>
                <w:rFonts w:ascii="Arial" w:hAnsi="Arial" w:cs="Arial"/>
                <w:color w:val="000000"/>
              </w:rPr>
              <w:t>(UK)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30544A43" w:rsidR="00422FF0" w:rsidRPr="009320C8" w:rsidRDefault="008C373B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lastRenderedPageBreak/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2D00CECF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AF5D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373B" w:rsidRPr="008C373B">
              <w:rPr>
                <w:rFonts w:ascii="Arial" w:hAnsi="Arial" w:cs="Arial"/>
                <w:b/>
                <w:sz w:val="22"/>
                <w:szCs w:val="22"/>
              </w:rPr>
              <w:t>2018.110B.N.v1.Phimunavirus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3A114D0F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="00A312AA">
        <w:rPr>
          <w:rFonts w:ascii="Arial" w:hAnsi="Arial" w:cs="Arial"/>
          <w:b/>
          <w:color w:val="0000FF"/>
          <w:sz w:val="20"/>
        </w:rPr>
        <w:t>:</w:t>
      </w:r>
      <w:r w:rsidRPr="00771B1C">
        <w:rPr>
          <w:lang w:val="en-GB"/>
        </w:rPr>
        <w:t xml:space="preserve"> </w:t>
      </w:r>
      <w:r w:rsidRPr="00353736">
        <w:rPr>
          <w:rFonts w:ascii="Arial" w:hAnsi="Arial" w:cs="Arial"/>
          <w:sz w:val="20"/>
          <w:szCs w:val="20"/>
          <w:lang w:val="en-GB"/>
        </w:rPr>
        <w:t>We have chosen 95% DNA sequence identity as the criterion for demarcation of species in this new genus. Each of the proposed species differs from the others with more than 5% at the DNA level as confirmed with the BLASTN algorithm.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5B07C0F" w14:textId="0B9EDA38" w:rsidR="001C4369" w:rsidRDefault="00E640CA" w:rsidP="00E640C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>Genus demarcation</w:t>
      </w: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E37EEE" w:rsidRPr="00B34009">
        <w:rPr>
          <w:rFonts w:ascii="Arial" w:hAnsi="Arial" w:cs="Arial"/>
          <w:i/>
          <w:sz w:val="20"/>
          <w:szCs w:val="20"/>
          <w:lang w:val="en-GB"/>
        </w:rPr>
        <w:t>Pectobacterium</w:t>
      </w:r>
      <w:r w:rsidR="00E37EEE" w:rsidRPr="00B34009">
        <w:rPr>
          <w:rFonts w:ascii="Arial" w:hAnsi="Arial" w:cs="Arial"/>
          <w:sz w:val="20"/>
          <w:szCs w:val="20"/>
          <w:lang w:val="en-GB"/>
        </w:rPr>
        <w:t xml:space="preserve"> phages</w:t>
      </w:r>
      <w:r w:rsidR="00E37EEE" w:rsidRPr="00B3400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37EEE" w:rsidRPr="00353736">
        <w:rPr>
          <w:rFonts w:ascii="Arial" w:hAnsi="Arial" w:cs="Arial"/>
          <w:sz w:val="20"/>
          <w:szCs w:val="20"/>
        </w:rPr>
        <w:t>φM1, CB5, Peat1 and PP90 are</w:t>
      </w:r>
      <w:r w:rsidR="00D82268">
        <w:rPr>
          <w:rFonts w:ascii="Arial" w:hAnsi="Arial" w:cs="Arial"/>
          <w:sz w:val="20"/>
          <w:szCs w:val="20"/>
        </w:rPr>
        <w:t xml:space="preserve"> </w:t>
      </w:r>
      <w:r w:rsidR="00E37EEE" w:rsidRPr="00353736">
        <w:rPr>
          <w:rFonts w:ascii="Arial" w:hAnsi="Arial" w:cs="Arial"/>
          <w:sz w:val="20"/>
          <w:szCs w:val="20"/>
        </w:rPr>
        <w:t xml:space="preserve">all </w:t>
      </w:r>
      <w:r w:rsidR="00D82268">
        <w:rPr>
          <w:rFonts w:ascii="Arial" w:hAnsi="Arial" w:cs="Arial"/>
          <w:sz w:val="20"/>
          <w:szCs w:val="20"/>
        </w:rPr>
        <w:t xml:space="preserve">phages of </w:t>
      </w:r>
      <w:r w:rsidR="00D82268" w:rsidRPr="00D82268">
        <w:rPr>
          <w:rFonts w:ascii="Arial" w:hAnsi="Arial" w:cs="Arial"/>
          <w:i/>
          <w:sz w:val="20"/>
          <w:szCs w:val="20"/>
        </w:rPr>
        <w:t>Pectobacterium atrosepticum</w:t>
      </w:r>
      <w:r w:rsidR="00D82268">
        <w:rPr>
          <w:rFonts w:ascii="Arial" w:hAnsi="Arial" w:cs="Arial"/>
          <w:sz w:val="20"/>
          <w:szCs w:val="20"/>
        </w:rPr>
        <w:t>.</w:t>
      </w:r>
      <w:r w:rsidR="00E37EEE" w:rsidRPr="00353736">
        <w:rPr>
          <w:rFonts w:ascii="Arial" w:hAnsi="Arial" w:cs="Arial"/>
          <w:sz w:val="20"/>
          <w:szCs w:val="20"/>
        </w:rPr>
        <w:t xml:space="preserve"> </w:t>
      </w:r>
      <w:r w:rsidR="00B34009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 xml:space="preserve">hylogenetic </w:t>
      </w:r>
      <w:r w:rsidR="00D82268">
        <w:rPr>
          <w:rFonts w:ascii="Arial" w:hAnsi="Arial" w:cs="Arial"/>
          <w:sz w:val="20"/>
          <w:szCs w:val="20"/>
          <w:lang w:val="en-GB"/>
        </w:rPr>
        <w:t xml:space="preserve">and BLASTN </w:t>
      </w:r>
      <w:r w:rsidR="00513671">
        <w:rPr>
          <w:rFonts w:ascii="Arial" w:hAnsi="Arial" w:cs="Arial"/>
          <w:sz w:val="20"/>
          <w:szCs w:val="20"/>
          <w:lang w:val="en-GB"/>
        </w:rPr>
        <w:t xml:space="preserve">analyses </w:t>
      </w:r>
      <w:r>
        <w:rPr>
          <w:rFonts w:ascii="Arial" w:hAnsi="Arial" w:cs="Arial"/>
          <w:sz w:val="20"/>
          <w:szCs w:val="20"/>
          <w:lang w:val="en-GB"/>
        </w:rPr>
        <w:t>indicate that the proposed genus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(Table 1 and Figure 2)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sz w:val="20"/>
          <w:szCs w:val="20"/>
          <w:lang w:val="en-GB"/>
        </w:rPr>
        <w:t>Phimunavirus</w:t>
      </w:r>
      <w:r>
        <w:rPr>
          <w:rFonts w:ascii="Arial" w:hAnsi="Arial" w:cs="Arial"/>
          <w:sz w:val="20"/>
          <w:szCs w:val="20"/>
          <w:lang w:val="en-GB"/>
        </w:rPr>
        <w:t>, is cohesive and</w:t>
      </w:r>
      <w:r w:rsidR="00405D87">
        <w:rPr>
          <w:rFonts w:ascii="Arial" w:hAnsi="Arial" w:cs="Arial"/>
          <w:sz w:val="20"/>
          <w:szCs w:val="20"/>
          <w:lang w:val="en-GB"/>
        </w:rPr>
        <w:t xml:space="preserve"> distinct from other genera.</w:t>
      </w:r>
      <w:r>
        <w:rPr>
          <w:rFonts w:ascii="Arial" w:hAnsi="Arial" w:cs="Arial"/>
          <w:sz w:val="20"/>
          <w:szCs w:val="20"/>
          <w:lang w:val="en-GB"/>
        </w:rPr>
        <w:t xml:space="preserve"> On average, the genomes of members of this genus are 44.4 kb and encode between 52 and 61 proteins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(Table 1)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BD3592">
        <w:rPr>
          <w:rFonts w:ascii="Arial" w:hAnsi="Arial" w:cs="Arial"/>
          <w:sz w:val="20"/>
          <w:szCs w:val="20"/>
          <w:lang w:val="en-GB"/>
        </w:rPr>
        <w:t xml:space="preserve"> </w:t>
      </w:r>
      <w:r w:rsidR="00FE2909">
        <w:rPr>
          <w:rFonts w:ascii="Arial" w:hAnsi="Arial" w:cs="Arial"/>
          <w:sz w:val="20"/>
          <w:szCs w:val="20"/>
          <w:lang w:val="en-GB"/>
        </w:rPr>
        <w:t>Bioinformatics analysis of these phage genomes demonstrates a high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level of nucleotide identity (≥80%) with</w:t>
      </w:r>
      <w:r w:rsidR="00FE2909">
        <w:rPr>
          <w:rFonts w:ascii="Arial" w:hAnsi="Arial" w:cs="Arial"/>
          <w:sz w:val="20"/>
          <w:szCs w:val="20"/>
          <w:lang w:val="en-GB"/>
        </w:rPr>
        <w:t xml:space="preserve"> </w:t>
      </w:r>
      <w:r w:rsidR="00D82268">
        <w:rPr>
          <w:rFonts w:ascii="Arial" w:hAnsi="Arial" w:cs="Arial"/>
          <w:sz w:val="20"/>
          <w:szCs w:val="20"/>
          <w:lang w:val="en-GB"/>
        </w:rPr>
        <w:t xml:space="preserve">a </w:t>
      </w:r>
      <w:r w:rsidR="00FE2909">
        <w:rPr>
          <w:rFonts w:ascii="Arial" w:hAnsi="Arial" w:cs="Arial"/>
          <w:sz w:val="20"/>
          <w:szCs w:val="20"/>
          <w:lang w:val="en-GB"/>
        </w:rPr>
        <w:t>conserv</w:t>
      </w:r>
      <w:r w:rsidR="00D82268">
        <w:rPr>
          <w:rFonts w:ascii="Arial" w:hAnsi="Arial" w:cs="Arial"/>
          <w:sz w:val="20"/>
          <w:szCs w:val="20"/>
          <w:lang w:val="en-GB"/>
        </w:rPr>
        <w:t>ed</w:t>
      </w:r>
      <w:r w:rsidR="00FE2909">
        <w:rPr>
          <w:rFonts w:ascii="Arial" w:hAnsi="Arial" w:cs="Arial"/>
          <w:sz w:val="20"/>
          <w:szCs w:val="20"/>
          <w:lang w:val="en-GB"/>
        </w:rPr>
        <w:t xml:space="preserve"> gene content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(Table 1 and Figure 3)</w:t>
      </w:r>
      <w:r w:rsidR="00FE2909">
        <w:rPr>
          <w:rFonts w:ascii="Arial" w:hAnsi="Arial" w:cs="Arial"/>
          <w:sz w:val="20"/>
          <w:szCs w:val="20"/>
          <w:lang w:val="en-GB"/>
        </w:rPr>
        <w:t>. Each of these phages encodes genes solely on the Watson strand and exhibit a similar genome organisation.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T</w:t>
      </w:r>
      <w:r w:rsidR="001C4369">
        <w:rPr>
          <w:rFonts w:ascii="Arial" w:hAnsi="Arial" w:cs="Arial"/>
          <w:sz w:val="20"/>
          <w:szCs w:val="20"/>
          <w:lang w:val="en-GB"/>
        </w:rPr>
        <w:t xml:space="preserve">he presence of virion encoded single-subunit RNA polymerase, places these phages within the subfamily </w:t>
      </w:r>
      <w:r w:rsidR="001C4369" w:rsidRPr="001C4369">
        <w:rPr>
          <w:rFonts w:ascii="Arial" w:hAnsi="Arial" w:cs="Arial"/>
          <w:i/>
          <w:sz w:val="20"/>
          <w:szCs w:val="20"/>
          <w:lang w:val="en-GB"/>
        </w:rPr>
        <w:t>Autographivirinae</w:t>
      </w:r>
      <w:r w:rsidR="001C436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91A8647" w14:textId="499E2051" w:rsidR="001C418E" w:rsidRDefault="001C418E" w:rsidP="00E640CA">
      <w:pPr>
        <w:rPr>
          <w:rFonts w:ascii="Arial" w:hAnsi="Arial" w:cs="Arial"/>
          <w:sz w:val="20"/>
          <w:szCs w:val="20"/>
          <w:lang w:val="en-GB"/>
        </w:rPr>
      </w:pPr>
    </w:p>
    <w:p w14:paraId="524AAB0D" w14:textId="655BDAAF" w:rsidR="001C418E" w:rsidRPr="00184EA0" w:rsidRDefault="001C418E" w:rsidP="00E640CA">
      <w:pPr>
        <w:rPr>
          <w:rFonts w:ascii="Arial" w:hAnsi="Arial" w:cs="Arial"/>
          <w:sz w:val="20"/>
          <w:szCs w:val="20"/>
          <w:lang w:val="en-GB"/>
        </w:rPr>
      </w:pPr>
      <w:r w:rsidRPr="001C418E">
        <w:rPr>
          <w:rFonts w:ascii="Arial" w:hAnsi="Arial" w:cs="Arial"/>
          <w:sz w:val="20"/>
          <w:szCs w:val="20"/>
          <w:lang w:val="en-GB"/>
        </w:rPr>
        <w:t xml:space="preserve">Micrographs of phage CB5 show the phage belongs to the family of </w:t>
      </w:r>
      <w:r w:rsidRPr="001C418E">
        <w:rPr>
          <w:rFonts w:ascii="Arial" w:hAnsi="Arial" w:cs="Arial"/>
          <w:i/>
          <w:sz w:val="20"/>
          <w:szCs w:val="20"/>
          <w:lang w:val="en-GB"/>
        </w:rPr>
        <w:t>Podovir</w:t>
      </w:r>
      <w:r w:rsidR="00F54526">
        <w:rPr>
          <w:rFonts w:ascii="Arial" w:hAnsi="Arial" w:cs="Arial"/>
          <w:i/>
          <w:sz w:val="20"/>
          <w:szCs w:val="20"/>
          <w:lang w:val="en-GB"/>
        </w:rPr>
        <w:t>i</w:t>
      </w:r>
      <w:r w:rsidRPr="001C418E">
        <w:rPr>
          <w:rFonts w:ascii="Arial" w:hAnsi="Arial" w:cs="Arial"/>
          <w:i/>
          <w:sz w:val="20"/>
          <w:szCs w:val="20"/>
          <w:lang w:val="en-GB"/>
        </w:rPr>
        <w:t>da</w:t>
      </w:r>
      <w:r w:rsidR="00F54526">
        <w:rPr>
          <w:rFonts w:ascii="Arial" w:hAnsi="Arial" w:cs="Arial"/>
          <w:i/>
          <w:sz w:val="20"/>
          <w:szCs w:val="20"/>
          <w:lang w:val="en-GB"/>
        </w:rPr>
        <w:t>e</w:t>
      </w:r>
      <w:r w:rsidRPr="001C418E">
        <w:rPr>
          <w:rFonts w:ascii="Arial" w:hAnsi="Arial" w:cs="Arial"/>
          <w:sz w:val="20"/>
          <w:szCs w:val="20"/>
          <w:lang w:val="en-GB"/>
        </w:rPr>
        <w:t xml:space="preserve"> with an icosahedral head (63.1 ± 3.6 nm in diameter, n=25) with clearly distinguishable hexagonal outlines and a short non-contractile tail (13.1 ± 1.8 nm, n=11), and short appendices (length: ca. 10.1 ± 1.7 nm, n=10) visible at the head/tail connection site</w:t>
      </w:r>
      <w:r>
        <w:rPr>
          <w:rFonts w:ascii="Arial" w:hAnsi="Arial" w:cs="Arial"/>
          <w:sz w:val="20"/>
          <w:szCs w:val="20"/>
          <w:lang w:val="en-GB"/>
        </w:rPr>
        <w:t xml:space="preserve"> (Figure 1) [1]</w:t>
      </w:r>
      <w:r w:rsidRPr="001C418E">
        <w:rPr>
          <w:rFonts w:ascii="Arial" w:hAnsi="Arial" w:cs="Arial"/>
          <w:sz w:val="20"/>
          <w:szCs w:val="20"/>
          <w:lang w:val="en-GB"/>
        </w:rPr>
        <w:t>.</w:t>
      </w:r>
    </w:p>
    <w:p w14:paraId="05AEFD6B" w14:textId="77777777" w:rsidR="00A312AA" w:rsidRDefault="00A312AA" w:rsidP="00E640CA">
      <w:pPr>
        <w:rPr>
          <w:rFonts w:ascii="Arial" w:hAnsi="Arial" w:cs="Arial"/>
          <w:sz w:val="20"/>
          <w:szCs w:val="20"/>
          <w:lang w:val="en-GB"/>
        </w:rPr>
      </w:pPr>
    </w:p>
    <w:p w14:paraId="253C96BD" w14:textId="27B30D46" w:rsidR="00A312AA" w:rsidRPr="00AF5D20" w:rsidRDefault="00A312AA" w:rsidP="00A312AA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Pr="00353736">
        <w:rPr>
          <w:rFonts w:ascii="Arial" w:hAnsi="Arial" w:cs="Arial"/>
          <w:sz w:val="20"/>
          <w:szCs w:val="20"/>
          <w:lang w:val="en-GB"/>
        </w:rPr>
        <w:t xml:space="preserve">The genus is named after the first </w:t>
      </w:r>
      <w:r w:rsidR="00D82268">
        <w:rPr>
          <w:rFonts w:ascii="Arial" w:hAnsi="Arial" w:cs="Arial"/>
          <w:sz w:val="20"/>
          <w:szCs w:val="20"/>
          <w:lang w:val="en-GB"/>
        </w:rPr>
        <w:t>Isolated</w:t>
      </w:r>
      <w:r w:rsidRPr="00353736">
        <w:rPr>
          <w:rFonts w:ascii="Arial" w:hAnsi="Arial" w:cs="Arial"/>
          <w:sz w:val="20"/>
          <w:szCs w:val="20"/>
          <w:lang w:val="en-GB"/>
        </w:rPr>
        <w:t xml:space="preserve"> phage of this type</w:t>
      </w:r>
      <w:r w:rsidR="00D82268">
        <w:rPr>
          <w:rFonts w:ascii="Arial" w:hAnsi="Arial" w:cs="Arial"/>
          <w:sz w:val="20"/>
          <w:szCs w:val="20"/>
          <w:lang w:val="en-GB"/>
        </w:rPr>
        <w:t xml:space="preserve">, </w:t>
      </w:r>
      <w:r w:rsidR="00D82268" w:rsidRPr="00EF4E45">
        <w:rPr>
          <w:rFonts w:ascii="Arial" w:hAnsi="Arial" w:cs="Arial"/>
          <w:i/>
          <w:sz w:val="20"/>
          <w:szCs w:val="20"/>
          <w:lang w:val="en-GB"/>
        </w:rPr>
        <w:t>Pectobacterium</w:t>
      </w:r>
      <w:r w:rsidR="00D82268">
        <w:rPr>
          <w:rFonts w:ascii="Arial" w:hAnsi="Arial" w:cs="Arial"/>
          <w:sz w:val="20"/>
          <w:szCs w:val="20"/>
          <w:lang w:val="en-GB"/>
        </w:rPr>
        <w:t xml:space="preserve"> phage </w:t>
      </w:r>
      <w:r w:rsidR="00D82268" w:rsidRPr="00353736">
        <w:rPr>
          <w:rFonts w:ascii="Arial" w:hAnsi="Arial" w:cs="Arial"/>
          <w:sz w:val="20"/>
          <w:szCs w:val="20"/>
        </w:rPr>
        <w:t>φM1</w:t>
      </w:r>
      <w:r w:rsidR="00D82268">
        <w:rPr>
          <w:rFonts w:ascii="Arial" w:hAnsi="Arial" w:cs="Arial"/>
          <w:sz w:val="20"/>
          <w:szCs w:val="20"/>
        </w:rPr>
        <w:t xml:space="preserve">. </w:t>
      </w:r>
    </w:p>
    <w:p w14:paraId="3BA556C7" w14:textId="62C3E6CC" w:rsidR="00E640CA" w:rsidRPr="00AF5D20" w:rsidRDefault="00E640CA" w:rsidP="00E640CA">
      <w:pPr>
        <w:rPr>
          <w:rFonts w:ascii="Arial" w:hAnsi="Arial" w:cs="Arial"/>
          <w:sz w:val="20"/>
          <w:szCs w:val="20"/>
          <w:lang w:val="en-GB"/>
        </w:rPr>
      </w:pPr>
    </w:p>
    <w:p w14:paraId="62744EC0" w14:textId="77777777" w:rsidR="00A312AA" w:rsidRDefault="00A312AA" w:rsidP="00E640CA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4E8F4F8" w14:textId="77777777" w:rsidR="001C418E" w:rsidRDefault="001C418E" w:rsidP="00E640CA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55C1B80" w14:textId="115354CD" w:rsidR="00B34009" w:rsidRDefault="00B34009" w:rsidP="00E640C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lastRenderedPageBreak/>
        <w:t>History:</w:t>
      </w:r>
    </w:p>
    <w:p w14:paraId="27C69897" w14:textId="45BC0941" w:rsidR="009B6F92" w:rsidRPr="00B35A21" w:rsidRDefault="00B35A21" w:rsidP="00E640CA">
      <w:pPr>
        <w:rPr>
          <w:rFonts w:ascii="Arial" w:hAnsi="Arial" w:cs="Arial"/>
          <w:color w:val="0000FF"/>
          <w:sz w:val="20"/>
          <w:szCs w:val="20"/>
          <w:lang w:val="en-GB"/>
        </w:rPr>
      </w:pPr>
      <w:r w:rsidRPr="00B35A21">
        <w:rPr>
          <w:rFonts w:ascii="Arial" w:hAnsi="Arial" w:cs="Arial"/>
          <w:sz w:val="20"/>
          <w:szCs w:val="20"/>
          <w:lang w:val="en-GB"/>
        </w:rPr>
        <w:t>Isolation source of phages of the proposed genus</w:t>
      </w:r>
      <w:r w:rsidR="00EF4E45">
        <w:rPr>
          <w:rFonts w:ascii="Arial" w:hAnsi="Arial" w:cs="Arial"/>
          <w:sz w:val="20"/>
          <w:szCs w:val="20"/>
          <w:lang w:val="en-GB"/>
        </w:rPr>
        <w:t xml:space="preserve"> of</w:t>
      </w:r>
      <w:r w:rsidR="00EF4E45" w:rsidRPr="00EF4E45">
        <w:t xml:space="preserve"> </w:t>
      </w:r>
      <w:r w:rsidR="00EF4E45" w:rsidRPr="00EF4E45">
        <w:rPr>
          <w:rFonts w:ascii="Arial" w:hAnsi="Arial" w:cs="Arial"/>
          <w:i/>
          <w:sz w:val="20"/>
          <w:szCs w:val="20"/>
          <w:lang w:val="en-GB"/>
        </w:rPr>
        <w:t>Phimunavirus</w:t>
      </w:r>
      <w:r w:rsidR="00D82268">
        <w:rPr>
          <w:rFonts w:ascii="Arial" w:hAnsi="Arial" w:cs="Arial"/>
          <w:sz w:val="20"/>
          <w:szCs w:val="20"/>
          <w:lang w:val="en-GB"/>
        </w:rPr>
        <w:t>:</w:t>
      </w:r>
    </w:p>
    <w:p w14:paraId="1C75F3A6" w14:textId="79976404" w:rsidR="00B35A21" w:rsidRPr="00B35A21" w:rsidRDefault="00B35A21" w:rsidP="00B35A2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Phage </w:t>
      </w:r>
      <w:r w:rsidR="00AF38D1" w:rsidRPr="00B35A21">
        <w:rPr>
          <w:rFonts w:ascii="Arial" w:hAnsi="Arial" w:cs="Arial"/>
          <w:sz w:val="20"/>
          <w:szCs w:val="20"/>
        </w:rPr>
        <w:t>φM1 was isolated from</w:t>
      </w:r>
      <w:r w:rsidR="00C76408" w:rsidRPr="00B35A21">
        <w:rPr>
          <w:rFonts w:ascii="Arial" w:hAnsi="Arial" w:cs="Arial"/>
          <w:sz w:val="20"/>
          <w:szCs w:val="20"/>
        </w:rPr>
        <w:t xml:space="preserve"> mixed sewage</w:t>
      </w:r>
      <w:r w:rsidR="00AF38D1" w:rsidRPr="00B35A21">
        <w:rPr>
          <w:rFonts w:ascii="Arial" w:hAnsi="Arial" w:cs="Arial"/>
          <w:sz w:val="20"/>
          <w:szCs w:val="20"/>
        </w:rPr>
        <w:t xml:space="preserve"> </w:t>
      </w:r>
      <w:r w:rsidR="00C76408" w:rsidRPr="00B35A21">
        <w:rPr>
          <w:rFonts w:ascii="Arial" w:hAnsi="Arial" w:cs="Arial"/>
          <w:sz w:val="20"/>
          <w:szCs w:val="20"/>
        </w:rPr>
        <w:t xml:space="preserve">(Finham sewage works, Coventry, Warwickshire, UK) by Toth </w:t>
      </w:r>
      <w:r w:rsidR="00C76408" w:rsidRPr="00561A87">
        <w:rPr>
          <w:rFonts w:ascii="Arial" w:hAnsi="Arial" w:cs="Arial"/>
          <w:i/>
          <w:sz w:val="20"/>
          <w:szCs w:val="20"/>
        </w:rPr>
        <w:t>et al</w:t>
      </w:r>
      <w:r w:rsidRPr="00561A87">
        <w:rPr>
          <w:rFonts w:ascii="Arial" w:hAnsi="Arial" w:cs="Arial"/>
          <w:i/>
          <w:sz w:val="20"/>
          <w:szCs w:val="20"/>
        </w:rPr>
        <w:t>.</w:t>
      </w:r>
      <w:r w:rsidR="00561A87">
        <w:rPr>
          <w:rFonts w:ascii="Arial" w:hAnsi="Arial" w:cs="Arial"/>
          <w:sz w:val="20"/>
          <w:szCs w:val="20"/>
        </w:rPr>
        <w:t xml:space="preserve"> [</w:t>
      </w:r>
      <w:r w:rsidR="001C418E">
        <w:rPr>
          <w:rFonts w:ascii="Arial" w:hAnsi="Arial" w:cs="Arial"/>
          <w:sz w:val="20"/>
          <w:szCs w:val="20"/>
        </w:rPr>
        <w:t>2</w:t>
      </w:r>
      <w:r w:rsidR="00561A87">
        <w:rPr>
          <w:rFonts w:ascii="Arial" w:hAnsi="Arial" w:cs="Arial"/>
          <w:sz w:val="20"/>
          <w:szCs w:val="20"/>
        </w:rPr>
        <w:t>]</w:t>
      </w:r>
      <w:r w:rsidR="002D3E49">
        <w:rPr>
          <w:rFonts w:ascii="Arial" w:hAnsi="Arial" w:cs="Arial"/>
          <w:sz w:val="20"/>
          <w:szCs w:val="20"/>
        </w:rPr>
        <w:t xml:space="preserve"> with the phage later</w:t>
      </w:r>
      <w:r w:rsidR="00512E1B">
        <w:rPr>
          <w:rFonts w:ascii="Arial" w:hAnsi="Arial" w:cs="Arial"/>
          <w:sz w:val="20"/>
          <w:szCs w:val="20"/>
        </w:rPr>
        <w:t xml:space="preserve"> having its</w:t>
      </w:r>
      <w:r w:rsidR="002D3E49">
        <w:rPr>
          <w:rFonts w:ascii="Arial" w:hAnsi="Arial" w:cs="Arial"/>
          <w:sz w:val="20"/>
          <w:szCs w:val="20"/>
        </w:rPr>
        <w:t xml:space="preserve"> genome sequenced by Blower </w:t>
      </w:r>
      <w:r w:rsidR="002D3E49" w:rsidRPr="00BA1031">
        <w:rPr>
          <w:rFonts w:ascii="Arial" w:hAnsi="Arial" w:cs="Arial"/>
          <w:i/>
          <w:sz w:val="20"/>
          <w:szCs w:val="20"/>
        </w:rPr>
        <w:t>et al</w:t>
      </w:r>
      <w:r w:rsidR="002D3E49">
        <w:rPr>
          <w:rFonts w:ascii="Arial" w:hAnsi="Arial" w:cs="Arial"/>
          <w:sz w:val="20"/>
          <w:szCs w:val="20"/>
        </w:rPr>
        <w:t xml:space="preserve"> [</w:t>
      </w:r>
      <w:r w:rsidR="001C418E">
        <w:rPr>
          <w:rFonts w:ascii="Arial" w:hAnsi="Arial" w:cs="Arial"/>
          <w:sz w:val="20"/>
          <w:szCs w:val="20"/>
        </w:rPr>
        <w:t>3</w:t>
      </w:r>
      <w:r w:rsidR="002D3E49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</w:p>
    <w:p w14:paraId="5EC4F27B" w14:textId="4D38EF4C" w:rsidR="00B35A21" w:rsidRPr="00B35A21" w:rsidRDefault="00B35A21" w:rsidP="00B35A2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B35A21">
        <w:rPr>
          <w:rFonts w:ascii="Arial" w:hAnsi="Arial" w:cs="Arial"/>
          <w:sz w:val="20"/>
          <w:szCs w:val="20"/>
        </w:rPr>
        <w:t xml:space="preserve">CB5 was isolated from soil from potato fields (Co. Cork, Ireland in 2013) by Buttimer </w:t>
      </w:r>
      <w:r w:rsidRPr="00561A87">
        <w:rPr>
          <w:rFonts w:ascii="Arial" w:hAnsi="Arial" w:cs="Arial"/>
          <w:i/>
          <w:sz w:val="20"/>
          <w:szCs w:val="20"/>
        </w:rPr>
        <w:t>et al.</w:t>
      </w:r>
      <w:r w:rsidR="00561A87">
        <w:rPr>
          <w:rFonts w:ascii="Arial" w:hAnsi="Arial" w:cs="Arial"/>
          <w:sz w:val="20"/>
          <w:szCs w:val="20"/>
        </w:rPr>
        <w:t xml:space="preserve"> [</w:t>
      </w:r>
      <w:r w:rsidR="001C418E">
        <w:rPr>
          <w:rFonts w:ascii="Arial" w:hAnsi="Arial" w:cs="Arial"/>
          <w:sz w:val="20"/>
          <w:szCs w:val="20"/>
        </w:rPr>
        <w:t>1</w:t>
      </w:r>
      <w:r w:rsidR="00561A87">
        <w:rPr>
          <w:rFonts w:ascii="Arial" w:hAnsi="Arial" w:cs="Arial"/>
          <w:sz w:val="20"/>
          <w:szCs w:val="20"/>
        </w:rPr>
        <w:t>]</w:t>
      </w:r>
      <w:r w:rsidRPr="00B35A21">
        <w:rPr>
          <w:rFonts w:ascii="Arial" w:hAnsi="Arial" w:cs="Arial"/>
          <w:sz w:val="20"/>
          <w:szCs w:val="20"/>
        </w:rPr>
        <w:t xml:space="preserve">. </w:t>
      </w:r>
    </w:p>
    <w:p w14:paraId="6E04F3C2" w14:textId="1CF0E93B" w:rsidR="00B35A21" w:rsidRPr="00B35A21" w:rsidRDefault="0029234F" w:rsidP="00B35A2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B35A21">
        <w:rPr>
          <w:rFonts w:ascii="Arial" w:hAnsi="Arial" w:cs="Arial"/>
          <w:sz w:val="20"/>
          <w:szCs w:val="20"/>
          <w:lang w:val="en-GB"/>
        </w:rPr>
        <w:t>PP90 was isolated from</w:t>
      </w:r>
      <w:r w:rsidRPr="00B35A21">
        <w:rPr>
          <w:rFonts w:ascii="Arial" w:hAnsi="Arial" w:cs="Arial"/>
        </w:rPr>
        <w:t xml:space="preserve"> </w:t>
      </w:r>
      <w:r w:rsidRPr="00B35A21">
        <w:rPr>
          <w:rFonts w:ascii="Arial" w:hAnsi="Arial" w:cs="Arial"/>
          <w:sz w:val="20"/>
          <w:szCs w:val="20"/>
        </w:rPr>
        <w:t>potato washing waste water</w:t>
      </w:r>
      <w:r w:rsidR="001C6474" w:rsidRPr="00B35A21">
        <w:rPr>
          <w:rFonts w:ascii="Arial" w:hAnsi="Arial" w:cs="Arial"/>
          <w:sz w:val="20"/>
          <w:szCs w:val="20"/>
        </w:rPr>
        <w:t xml:space="preserve"> by Shneider </w:t>
      </w:r>
      <w:r w:rsidR="001C6474" w:rsidRPr="00561A87">
        <w:rPr>
          <w:rFonts w:ascii="Arial" w:hAnsi="Arial" w:cs="Arial"/>
          <w:i/>
          <w:sz w:val="20"/>
          <w:szCs w:val="20"/>
        </w:rPr>
        <w:t>et al</w:t>
      </w:r>
      <w:r w:rsidR="00561A87" w:rsidRPr="00561A87">
        <w:rPr>
          <w:rFonts w:ascii="Arial" w:hAnsi="Arial" w:cs="Arial"/>
          <w:i/>
          <w:sz w:val="20"/>
          <w:szCs w:val="20"/>
        </w:rPr>
        <w:t>.</w:t>
      </w:r>
      <w:r w:rsidRPr="00B35A21">
        <w:rPr>
          <w:rFonts w:ascii="Arial" w:hAnsi="Arial" w:cs="Arial"/>
          <w:sz w:val="20"/>
          <w:szCs w:val="20"/>
        </w:rPr>
        <w:t xml:space="preserve"> </w:t>
      </w:r>
      <w:r w:rsidR="001C6474" w:rsidRPr="00B35A21">
        <w:rPr>
          <w:rFonts w:ascii="Arial" w:hAnsi="Arial" w:cs="Arial"/>
          <w:sz w:val="20"/>
          <w:szCs w:val="20"/>
        </w:rPr>
        <w:t>(isolation source detailed in Genbank file</w:t>
      </w:r>
      <w:r w:rsidR="00EF4E45">
        <w:rPr>
          <w:rFonts w:ascii="Arial" w:hAnsi="Arial" w:cs="Arial"/>
          <w:sz w:val="20"/>
          <w:szCs w:val="20"/>
        </w:rPr>
        <w:t>)</w:t>
      </w:r>
      <w:r w:rsidR="00166D55" w:rsidRPr="00B35A21">
        <w:rPr>
          <w:rFonts w:ascii="Arial" w:hAnsi="Arial" w:cs="Arial"/>
          <w:sz w:val="20"/>
          <w:szCs w:val="20"/>
        </w:rPr>
        <w:t xml:space="preserve">. </w:t>
      </w:r>
    </w:p>
    <w:p w14:paraId="665D1C6C" w14:textId="1B01F266" w:rsidR="00C74088" w:rsidRPr="00EF4E45" w:rsidRDefault="00166D55" w:rsidP="00AC0E72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B35A21">
        <w:rPr>
          <w:rFonts w:ascii="Arial" w:hAnsi="Arial" w:cs="Arial"/>
          <w:sz w:val="20"/>
          <w:szCs w:val="20"/>
        </w:rPr>
        <w:t xml:space="preserve">Peat1 </w:t>
      </w:r>
      <w:r w:rsidR="00EF4E45">
        <w:rPr>
          <w:rFonts w:ascii="Arial" w:hAnsi="Arial" w:cs="Arial"/>
          <w:sz w:val="20"/>
          <w:szCs w:val="20"/>
        </w:rPr>
        <w:t xml:space="preserve">was </w:t>
      </w:r>
      <w:r w:rsidRPr="00B35A21">
        <w:rPr>
          <w:rFonts w:ascii="Arial" w:hAnsi="Arial" w:cs="Arial"/>
          <w:sz w:val="20"/>
          <w:szCs w:val="20"/>
        </w:rPr>
        <w:t xml:space="preserve">isolated by Kalischuk </w:t>
      </w:r>
      <w:r w:rsidRPr="00561A87">
        <w:rPr>
          <w:rFonts w:ascii="Arial" w:hAnsi="Arial" w:cs="Arial"/>
          <w:i/>
          <w:sz w:val="20"/>
          <w:szCs w:val="20"/>
        </w:rPr>
        <w:t>et al</w:t>
      </w:r>
      <w:r w:rsidR="00561A87" w:rsidRPr="00561A87">
        <w:rPr>
          <w:rFonts w:ascii="Arial" w:hAnsi="Arial" w:cs="Arial"/>
          <w:i/>
          <w:sz w:val="20"/>
          <w:szCs w:val="20"/>
        </w:rPr>
        <w:t>.</w:t>
      </w:r>
      <w:r w:rsidR="00561A87">
        <w:rPr>
          <w:rFonts w:ascii="Arial" w:hAnsi="Arial" w:cs="Arial"/>
          <w:sz w:val="20"/>
          <w:szCs w:val="20"/>
        </w:rPr>
        <w:t xml:space="preserve"> [4]</w:t>
      </w:r>
      <w:r w:rsidRPr="00B35A21">
        <w:rPr>
          <w:rFonts w:ascii="Arial" w:hAnsi="Arial" w:cs="Arial"/>
          <w:sz w:val="20"/>
          <w:szCs w:val="20"/>
        </w:rPr>
        <w:t>, its</w:t>
      </w:r>
      <w:r w:rsidR="00B35A21">
        <w:rPr>
          <w:rFonts w:ascii="Arial" w:hAnsi="Arial" w:cs="Arial"/>
          <w:sz w:val="20"/>
          <w:szCs w:val="20"/>
        </w:rPr>
        <w:t xml:space="preserve"> exact</w:t>
      </w:r>
      <w:r w:rsidRPr="00B35A21">
        <w:rPr>
          <w:rFonts w:ascii="Arial" w:hAnsi="Arial" w:cs="Arial"/>
          <w:sz w:val="20"/>
          <w:szCs w:val="20"/>
        </w:rPr>
        <w:t xml:space="preserve"> isolation source is unclear with its Genbank</w:t>
      </w:r>
      <w:r w:rsidR="00D82268">
        <w:rPr>
          <w:rFonts w:ascii="Arial" w:hAnsi="Arial" w:cs="Arial"/>
          <w:sz w:val="20"/>
          <w:szCs w:val="20"/>
        </w:rPr>
        <w:t xml:space="preserve"> </w:t>
      </w:r>
      <w:r w:rsidRPr="00B35A21">
        <w:rPr>
          <w:rFonts w:ascii="Arial" w:hAnsi="Arial" w:cs="Arial"/>
          <w:sz w:val="20"/>
          <w:szCs w:val="20"/>
        </w:rPr>
        <w:t>file detail</w:t>
      </w:r>
      <w:r w:rsidR="00B35A21">
        <w:rPr>
          <w:rFonts w:ascii="Arial" w:hAnsi="Arial" w:cs="Arial"/>
          <w:sz w:val="20"/>
          <w:szCs w:val="20"/>
        </w:rPr>
        <w:t xml:space="preserve">ing </w:t>
      </w:r>
      <w:r w:rsidR="00B35A21" w:rsidRPr="001E1AC2">
        <w:rPr>
          <w:rFonts w:ascii="Arial" w:hAnsi="Arial" w:cs="Arial"/>
          <w:i/>
          <w:sz w:val="20"/>
          <w:szCs w:val="20"/>
        </w:rPr>
        <w:t>Solanum tuberosum</w:t>
      </w:r>
      <w:r w:rsidR="00B35A21">
        <w:rPr>
          <w:rFonts w:ascii="Arial" w:hAnsi="Arial" w:cs="Arial"/>
          <w:sz w:val="20"/>
          <w:szCs w:val="20"/>
        </w:rPr>
        <w:t>.</w:t>
      </w:r>
    </w:p>
    <w:p w14:paraId="666AC14B" w14:textId="77777777" w:rsidR="0029234F" w:rsidRPr="00805C88" w:rsidRDefault="0029234F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1F0D9008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665B3615" w14:textId="3D260833" w:rsidR="00AF5D20" w:rsidRDefault="00AF5D20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8667135" w14:textId="38434E22" w:rsidR="007E28E6" w:rsidRPr="005C21A3" w:rsidRDefault="007E28E6" w:rsidP="007E28E6">
      <w:pPr>
        <w:pStyle w:val="Caption"/>
        <w:keepNext/>
        <w:rPr>
          <w:rFonts w:ascii="Arial" w:hAnsi="Arial" w:cs="Arial"/>
          <w:color w:val="auto"/>
          <w:sz w:val="20"/>
          <w:szCs w:val="20"/>
        </w:rPr>
      </w:pPr>
      <w:r w:rsidRPr="005C21A3">
        <w:rPr>
          <w:rFonts w:ascii="Arial" w:hAnsi="Arial" w:cs="Arial"/>
          <w:i w:val="0"/>
          <w:color w:val="auto"/>
          <w:sz w:val="20"/>
          <w:szCs w:val="20"/>
        </w:rPr>
        <w:t xml:space="preserve">Table </w:t>
      </w:r>
      <w:r w:rsidRPr="005C21A3">
        <w:rPr>
          <w:rFonts w:ascii="Arial" w:hAnsi="Arial" w:cs="Arial"/>
          <w:i w:val="0"/>
          <w:color w:val="auto"/>
          <w:sz w:val="20"/>
          <w:szCs w:val="20"/>
        </w:rPr>
        <w:fldChar w:fldCharType="begin"/>
      </w:r>
      <w:r w:rsidRPr="005C21A3">
        <w:rPr>
          <w:rFonts w:ascii="Arial" w:hAnsi="Arial" w:cs="Arial"/>
          <w:i w:val="0"/>
          <w:color w:val="auto"/>
          <w:sz w:val="20"/>
          <w:szCs w:val="20"/>
        </w:rPr>
        <w:instrText xml:space="preserve"> SEQ Table \* ARABIC </w:instrText>
      </w:r>
      <w:r w:rsidRPr="005C21A3">
        <w:rPr>
          <w:rFonts w:ascii="Arial" w:hAnsi="Arial" w:cs="Arial"/>
          <w:i w:val="0"/>
          <w:color w:val="auto"/>
          <w:sz w:val="20"/>
          <w:szCs w:val="20"/>
        </w:rPr>
        <w:fldChar w:fldCharType="separate"/>
      </w:r>
      <w:r w:rsidRPr="005C21A3">
        <w:rPr>
          <w:rFonts w:ascii="Arial" w:hAnsi="Arial" w:cs="Arial"/>
          <w:i w:val="0"/>
          <w:noProof/>
          <w:color w:val="auto"/>
          <w:sz w:val="20"/>
          <w:szCs w:val="20"/>
        </w:rPr>
        <w:t>1</w:t>
      </w:r>
      <w:r w:rsidRPr="005C21A3">
        <w:rPr>
          <w:rFonts w:ascii="Arial" w:hAnsi="Arial" w:cs="Arial"/>
          <w:i w:val="0"/>
          <w:color w:val="auto"/>
          <w:sz w:val="20"/>
          <w:szCs w:val="20"/>
        </w:rPr>
        <w:fldChar w:fldCharType="end"/>
      </w:r>
      <w:r w:rsidRPr="005C21A3">
        <w:rPr>
          <w:rFonts w:ascii="Arial" w:hAnsi="Arial" w:cs="Arial"/>
          <w:i w:val="0"/>
          <w:color w:val="auto"/>
          <w:sz w:val="20"/>
          <w:szCs w:val="20"/>
        </w:rPr>
        <w:t>. Properties of four phages belonging to the genus</w:t>
      </w:r>
      <w:r w:rsidRPr="005C21A3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5" w:name="_Hlk515374193"/>
      <w:r w:rsidRPr="005C21A3">
        <w:rPr>
          <w:rFonts w:ascii="Arial" w:hAnsi="Arial" w:cs="Arial"/>
          <w:color w:val="auto"/>
          <w:sz w:val="20"/>
          <w:szCs w:val="20"/>
        </w:rPr>
        <w:t>Phimunavirus</w:t>
      </w:r>
      <w:bookmarkEnd w:id="5"/>
      <w:r w:rsidRPr="005C21A3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1329"/>
        <w:gridCol w:w="1075"/>
        <w:gridCol w:w="1069"/>
        <w:gridCol w:w="1106"/>
        <w:gridCol w:w="1070"/>
        <w:gridCol w:w="1084"/>
        <w:gridCol w:w="1070"/>
      </w:tblGrid>
      <w:tr w:rsidR="005C21A3" w:rsidRPr="0046297B" w14:paraId="3B4B3756" w14:textId="08C782B9" w:rsidTr="00595F23">
        <w:tc>
          <w:tcPr>
            <w:tcW w:w="1302" w:type="dxa"/>
          </w:tcPr>
          <w:p w14:paraId="3D2011AE" w14:textId="5C02ECD3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29" w:type="dxa"/>
          </w:tcPr>
          <w:p w14:paraId="79F3F035" w14:textId="1C780375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INSDC accession number</w:t>
            </w:r>
          </w:p>
        </w:tc>
        <w:tc>
          <w:tcPr>
            <w:tcW w:w="1075" w:type="dxa"/>
          </w:tcPr>
          <w:p w14:paraId="1E532953" w14:textId="315E6731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1069" w:type="dxa"/>
          </w:tcPr>
          <w:p w14:paraId="7EF9A141" w14:textId="128974B2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 xml:space="preserve">Mol % G+C </w:t>
            </w:r>
          </w:p>
        </w:tc>
        <w:tc>
          <w:tcPr>
            <w:tcW w:w="1106" w:type="dxa"/>
          </w:tcPr>
          <w:p w14:paraId="49AC3053" w14:textId="5D3D30FA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 xml:space="preserve">No. CDS </w:t>
            </w:r>
          </w:p>
        </w:tc>
        <w:tc>
          <w:tcPr>
            <w:tcW w:w="1070" w:type="dxa"/>
          </w:tcPr>
          <w:p w14:paraId="7DEAFF25" w14:textId="77777777" w:rsidR="005C21A3" w:rsidRPr="00B34009" w:rsidRDefault="005C21A3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070" w:type="dxa"/>
          </w:tcPr>
          <w:p w14:paraId="3AF1576C" w14:textId="6B749A34" w:rsidR="005C21A3" w:rsidRPr="00A312AA" w:rsidRDefault="00010B2C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2AA">
              <w:rPr>
                <w:rFonts w:ascii="Arial" w:hAnsi="Arial" w:cs="Arial"/>
                <w:sz w:val="20"/>
                <w:szCs w:val="20"/>
                <w:lang w:val="en-GB"/>
              </w:rPr>
              <w:t>DNA sequence identity (%)*</w:t>
            </w:r>
          </w:p>
        </w:tc>
        <w:tc>
          <w:tcPr>
            <w:tcW w:w="1070" w:type="dxa"/>
          </w:tcPr>
          <w:p w14:paraId="68EEB13F" w14:textId="5ECBD866" w:rsidR="005C21A3" w:rsidRPr="00A312AA" w:rsidRDefault="00010B2C" w:rsidP="008D3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2AA">
              <w:rPr>
                <w:rFonts w:ascii="Arial" w:hAnsi="Arial" w:cs="Arial"/>
                <w:sz w:val="20"/>
                <w:szCs w:val="20"/>
                <w:lang w:val="en-GB"/>
              </w:rPr>
              <w:t>Shared proteins (%)**</w:t>
            </w:r>
          </w:p>
        </w:tc>
      </w:tr>
      <w:tr w:rsidR="005C21A3" w:rsidRPr="0046297B" w14:paraId="5A9EF064" w14:textId="3C54619C" w:rsidTr="00595F23">
        <w:tc>
          <w:tcPr>
            <w:tcW w:w="1302" w:type="dxa"/>
          </w:tcPr>
          <w:p w14:paraId="1419DCE1" w14:textId="237D5CDB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6" w:name="_Hlk510009943"/>
            <w:r w:rsidRPr="00B34009">
              <w:rPr>
                <w:rFonts w:ascii="Arial" w:hAnsi="Arial" w:cs="Arial"/>
                <w:sz w:val="20"/>
                <w:szCs w:val="20"/>
              </w:rPr>
              <w:t>φ</w:t>
            </w:r>
            <w:bookmarkEnd w:id="6"/>
            <w:r w:rsidRPr="00B34009">
              <w:rPr>
                <w:rFonts w:ascii="Arial" w:hAnsi="Arial" w:cs="Arial"/>
                <w:sz w:val="20"/>
                <w:szCs w:val="20"/>
              </w:rPr>
              <w:t>M1</w:t>
            </w:r>
          </w:p>
        </w:tc>
        <w:tc>
          <w:tcPr>
            <w:tcW w:w="1329" w:type="dxa"/>
          </w:tcPr>
          <w:p w14:paraId="6351D89C" w14:textId="40AE46EA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JX290549.1</w:t>
            </w:r>
          </w:p>
        </w:tc>
        <w:tc>
          <w:tcPr>
            <w:tcW w:w="1075" w:type="dxa"/>
          </w:tcPr>
          <w:p w14:paraId="55EFCE3C" w14:textId="0B94FD10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42,989</w:t>
            </w:r>
          </w:p>
        </w:tc>
        <w:tc>
          <w:tcPr>
            <w:tcW w:w="1069" w:type="dxa"/>
          </w:tcPr>
          <w:p w14:paraId="66547846" w14:textId="32D73F02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49.18</w:t>
            </w:r>
          </w:p>
        </w:tc>
        <w:tc>
          <w:tcPr>
            <w:tcW w:w="1106" w:type="dxa"/>
          </w:tcPr>
          <w:p w14:paraId="5196FB42" w14:textId="60438A66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70" w:type="dxa"/>
          </w:tcPr>
          <w:p w14:paraId="1D79898F" w14:textId="1520B99C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06BE6106" w14:textId="4575DE99" w:rsidR="005C21A3" w:rsidRPr="00A312AA" w:rsidRDefault="00B34009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0" w:type="dxa"/>
          </w:tcPr>
          <w:p w14:paraId="0C316BAD" w14:textId="2FD0A0FB" w:rsidR="005C21A3" w:rsidRPr="00A312AA" w:rsidRDefault="00A312AA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C21A3" w:rsidRPr="0046297B" w14:paraId="3A4CBD28" w14:textId="5462691F" w:rsidTr="00595F23">
        <w:tc>
          <w:tcPr>
            <w:tcW w:w="1302" w:type="dxa"/>
          </w:tcPr>
          <w:p w14:paraId="37168415" w14:textId="4D6775D8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CB5</w:t>
            </w:r>
          </w:p>
        </w:tc>
        <w:tc>
          <w:tcPr>
            <w:tcW w:w="1329" w:type="dxa"/>
          </w:tcPr>
          <w:p w14:paraId="0755FA77" w14:textId="1C1E1ECF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  <w:lang w:val="en-GB"/>
              </w:rPr>
              <w:t>KY953156.1</w:t>
            </w:r>
          </w:p>
        </w:tc>
        <w:tc>
          <w:tcPr>
            <w:tcW w:w="1075" w:type="dxa"/>
          </w:tcPr>
          <w:p w14:paraId="087663DA" w14:textId="6DBD0B6D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44,262</w:t>
            </w:r>
          </w:p>
        </w:tc>
        <w:tc>
          <w:tcPr>
            <w:tcW w:w="1069" w:type="dxa"/>
          </w:tcPr>
          <w:p w14:paraId="40E153A6" w14:textId="06990214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48.98</w:t>
            </w:r>
          </w:p>
        </w:tc>
        <w:tc>
          <w:tcPr>
            <w:tcW w:w="1106" w:type="dxa"/>
          </w:tcPr>
          <w:p w14:paraId="1F52DCA6" w14:textId="1A215036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70" w:type="dxa"/>
          </w:tcPr>
          <w:p w14:paraId="7939D27B" w14:textId="5EC88371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14:paraId="1A3671CE" w14:textId="28A7264D" w:rsidR="005C21A3" w:rsidRPr="00A312AA" w:rsidRDefault="00A312AA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70" w:type="dxa"/>
          </w:tcPr>
          <w:p w14:paraId="5E67A958" w14:textId="68769AA2" w:rsidR="005C21A3" w:rsidRPr="00A312AA" w:rsidRDefault="00A312AA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5C21A3" w:rsidRPr="0046297B" w14:paraId="31E58B9A" w14:textId="06B3AE4E" w:rsidTr="00595F23">
        <w:tc>
          <w:tcPr>
            <w:tcW w:w="1302" w:type="dxa"/>
          </w:tcPr>
          <w:p w14:paraId="7AA41BF2" w14:textId="7FBDBAC4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Peat1</w:t>
            </w:r>
          </w:p>
        </w:tc>
        <w:tc>
          <w:tcPr>
            <w:tcW w:w="1329" w:type="dxa"/>
          </w:tcPr>
          <w:p w14:paraId="73575EEE" w14:textId="7C4B6A2F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KR604693.1</w:t>
            </w:r>
          </w:p>
        </w:tc>
        <w:tc>
          <w:tcPr>
            <w:tcW w:w="1075" w:type="dxa"/>
          </w:tcPr>
          <w:p w14:paraId="79E1B8FC" w14:textId="086C52C8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45,633</w:t>
            </w:r>
          </w:p>
        </w:tc>
        <w:tc>
          <w:tcPr>
            <w:tcW w:w="1069" w:type="dxa"/>
          </w:tcPr>
          <w:p w14:paraId="6382845F" w14:textId="36F15E48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48.86</w:t>
            </w:r>
          </w:p>
        </w:tc>
        <w:tc>
          <w:tcPr>
            <w:tcW w:w="1106" w:type="dxa"/>
          </w:tcPr>
          <w:p w14:paraId="211D0ED9" w14:textId="0B0EE357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70" w:type="dxa"/>
          </w:tcPr>
          <w:p w14:paraId="19ECF0FB" w14:textId="71AFC8F8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14:paraId="2006EE1F" w14:textId="28DD8595" w:rsidR="005C21A3" w:rsidRPr="00A312AA" w:rsidRDefault="00B34009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70" w:type="dxa"/>
          </w:tcPr>
          <w:p w14:paraId="3632A1C1" w14:textId="68FAE9DF" w:rsidR="005C21A3" w:rsidRPr="00A312AA" w:rsidRDefault="00A312AA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5C21A3" w:rsidRPr="00AF5D20" w14:paraId="29BC921E" w14:textId="515DF228" w:rsidTr="00595F23">
        <w:tc>
          <w:tcPr>
            <w:tcW w:w="1302" w:type="dxa"/>
          </w:tcPr>
          <w:p w14:paraId="0B8A1095" w14:textId="1CAB462C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PP90</w:t>
            </w:r>
          </w:p>
        </w:tc>
        <w:tc>
          <w:tcPr>
            <w:tcW w:w="1329" w:type="dxa"/>
          </w:tcPr>
          <w:p w14:paraId="6714C14B" w14:textId="74357B37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7" w:name="_Hlk515369801"/>
            <w:r w:rsidRPr="00B34009">
              <w:rPr>
                <w:rFonts w:ascii="Arial" w:hAnsi="Arial" w:cs="Arial"/>
                <w:sz w:val="20"/>
                <w:szCs w:val="20"/>
              </w:rPr>
              <w:t>KX278419.1</w:t>
            </w:r>
            <w:bookmarkEnd w:id="7"/>
          </w:p>
        </w:tc>
        <w:tc>
          <w:tcPr>
            <w:tcW w:w="1075" w:type="dxa"/>
          </w:tcPr>
          <w:p w14:paraId="22483DE7" w14:textId="3EB071A3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44,570</w:t>
            </w:r>
          </w:p>
        </w:tc>
        <w:tc>
          <w:tcPr>
            <w:tcW w:w="1069" w:type="dxa"/>
          </w:tcPr>
          <w:p w14:paraId="487B90B9" w14:textId="64BABFA7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48.89</w:t>
            </w:r>
          </w:p>
        </w:tc>
        <w:tc>
          <w:tcPr>
            <w:tcW w:w="1106" w:type="dxa"/>
          </w:tcPr>
          <w:p w14:paraId="476BDFD3" w14:textId="55342B2A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70" w:type="dxa"/>
          </w:tcPr>
          <w:p w14:paraId="2C49E400" w14:textId="29BB9762" w:rsidR="005C21A3" w:rsidRPr="00B34009" w:rsidRDefault="005C21A3" w:rsidP="004629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40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14:paraId="5B5EF970" w14:textId="06FD38DD" w:rsidR="005C21A3" w:rsidRPr="00A312AA" w:rsidRDefault="00B34009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70" w:type="dxa"/>
          </w:tcPr>
          <w:p w14:paraId="1C1FBEA0" w14:textId="5BBB1AA0" w:rsidR="005C21A3" w:rsidRPr="00A312AA" w:rsidRDefault="00A312AA" w:rsidP="0046297B">
            <w:pPr>
              <w:rPr>
                <w:rFonts w:ascii="Arial" w:hAnsi="Arial" w:cs="Arial"/>
                <w:sz w:val="20"/>
                <w:szCs w:val="20"/>
              </w:rPr>
            </w:pPr>
            <w:r w:rsidRPr="00A312A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14:paraId="44D230B5" w14:textId="6981C36D" w:rsidR="00010B2C" w:rsidRPr="00B34009" w:rsidRDefault="00010B2C" w:rsidP="00010B2C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B34009">
        <w:rPr>
          <w:rFonts w:ascii="Arial" w:hAnsi="Arial" w:cs="Arial"/>
          <w:sz w:val="20"/>
          <w:szCs w:val="20"/>
          <w:lang w:val="en-GB"/>
        </w:rPr>
        <w:t>* Determined using BLASTN</w:t>
      </w:r>
      <w:r w:rsidR="00B34009" w:rsidRPr="00B34009">
        <w:rPr>
          <w:rFonts w:ascii="Arial" w:hAnsi="Arial" w:cs="Arial"/>
          <w:sz w:val="20"/>
          <w:szCs w:val="20"/>
          <w:lang w:val="en-GB"/>
        </w:rPr>
        <w:t xml:space="preserve">; </w:t>
      </w:r>
      <w:r w:rsidRPr="00B34009">
        <w:rPr>
          <w:rFonts w:ascii="Arial" w:hAnsi="Arial" w:cs="Arial"/>
          <w:sz w:val="20"/>
          <w:szCs w:val="20"/>
          <w:lang w:val="en-GB"/>
        </w:rPr>
        <w:t>** Determined using CoreGenes3.5</w:t>
      </w:r>
      <w:r w:rsidR="002D3E49">
        <w:rPr>
          <w:rFonts w:ascii="Arial" w:hAnsi="Arial" w:cs="Arial"/>
          <w:sz w:val="20"/>
          <w:szCs w:val="20"/>
          <w:lang w:val="en-GB"/>
        </w:rPr>
        <w:t xml:space="preserve"> [5]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9EF6B17" w14:textId="45746B56" w:rsidR="00B34009" w:rsidRDefault="00B34009" w:rsidP="00B34009">
      <w:pPr>
        <w:rPr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>Electron micro</w:t>
      </w:r>
      <w:r w:rsidR="00A312AA">
        <w:rPr>
          <w:rFonts w:ascii="Arial" w:hAnsi="Arial" w:cs="Arial"/>
          <w:b/>
          <w:color w:val="0000FF"/>
          <w:sz w:val="20"/>
          <w:szCs w:val="20"/>
          <w:lang w:val="en-GB"/>
        </w:rPr>
        <w:t>scopy</w:t>
      </w: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</w:p>
    <w:p w14:paraId="5EE2996B" w14:textId="07297D11" w:rsidR="00B34009" w:rsidRDefault="00B34009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Figure </w:t>
      </w:r>
      <w:r w:rsidR="00D82268"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B34009">
        <w:rPr>
          <w:rFonts w:ascii="Arial" w:hAnsi="Arial" w:cs="Arial"/>
          <w:sz w:val="20"/>
          <w:szCs w:val="20"/>
          <w:lang w:val="en-GB"/>
        </w:rPr>
        <w:t xml:space="preserve">Transmission electron micrograph of negatively stained </w:t>
      </w:r>
      <w:r>
        <w:rPr>
          <w:rFonts w:ascii="Arial" w:hAnsi="Arial" w:cs="Arial"/>
          <w:i/>
          <w:sz w:val="20"/>
          <w:szCs w:val="20"/>
          <w:lang w:val="en-GB"/>
        </w:rPr>
        <w:t xml:space="preserve">Pectobacterium </w:t>
      </w:r>
      <w:r w:rsidRPr="00B34009">
        <w:rPr>
          <w:rFonts w:ascii="Arial" w:hAnsi="Arial" w:cs="Arial"/>
          <w:sz w:val="20"/>
          <w:szCs w:val="20"/>
          <w:lang w:val="en-GB"/>
        </w:rPr>
        <w:t>phage</w:t>
      </w:r>
      <w:r>
        <w:rPr>
          <w:rFonts w:ascii="Arial" w:hAnsi="Arial" w:cs="Arial"/>
          <w:sz w:val="20"/>
          <w:szCs w:val="20"/>
          <w:lang w:val="en-GB"/>
        </w:rPr>
        <w:t xml:space="preserve"> CB5</w:t>
      </w:r>
      <w:r w:rsidR="002D3E49">
        <w:rPr>
          <w:rFonts w:ascii="Arial" w:hAnsi="Arial" w:cs="Arial"/>
          <w:sz w:val="20"/>
          <w:szCs w:val="20"/>
          <w:lang w:val="en-GB"/>
        </w:rPr>
        <w:t xml:space="preserve"> [</w:t>
      </w:r>
      <w:r w:rsidR="001C418E">
        <w:rPr>
          <w:rFonts w:ascii="Arial" w:hAnsi="Arial" w:cs="Arial"/>
          <w:sz w:val="20"/>
          <w:szCs w:val="20"/>
          <w:lang w:val="en-GB"/>
        </w:rPr>
        <w:t>1</w:t>
      </w:r>
      <w:r w:rsidR="002D3E49">
        <w:rPr>
          <w:rFonts w:ascii="Arial" w:hAnsi="Arial" w:cs="Arial"/>
          <w:sz w:val="20"/>
          <w:szCs w:val="20"/>
          <w:lang w:val="en-GB"/>
        </w:rPr>
        <w:t>]</w:t>
      </w:r>
      <w:r w:rsidRPr="00B34009">
        <w:rPr>
          <w:rFonts w:ascii="Arial" w:hAnsi="Arial" w:cs="Arial"/>
          <w:sz w:val="20"/>
          <w:szCs w:val="20"/>
          <w:lang w:val="en-GB"/>
        </w:rPr>
        <w:t>, stained with 2% (w/v) uranyl acetate. Triangle indicates the short conical tail structure, and arrows indicate short append</w:t>
      </w:r>
      <w:r>
        <w:rPr>
          <w:rFonts w:ascii="Arial" w:hAnsi="Arial" w:cs="Arial"/>
          <w:sz w:val="20"/>
          <w:szCs w:val="20"/>
          <w:lang w:val="en-GB"/>
        </w:rPr>
        <w:t>ages</w:t>
      </w:r>
      <w:r w:rsidRPr="00B34009">
        <w:rPr>
          <w:rFonts w:ascii="Arial" w:hAnsi="Arial" w:cs="Arial"/>
          <w:sz w:val="20"/>
          <w:szCs w:val="20"/>
          <w:lang w:val="en-GB"/>
        </w:rPr>
        <w:t xml:space="preserve"> (whiskers) beneath the capsid.  Scale bars represent 50 nm.</w:t>
      </w:r>
    </w:p>
    <w:p w14:paraId="48C55BFB" w14:textId="77777777" w:rsidR="00D57E86" w:rsidRPr="00B34009" w:rsidRDefault="00D57E86" w:rsidP="00AC0E72">
      <w:pPr>
        <w:rPr>
          <w:rFonts w:ascii="Arial" w:hAnsi="Arial" w:cs="Arial"/>
          <w:color w:val="0000FF"/>
          <w:sz w:val="20"/>
          <w:szCs w:val="20"/>
          <w:lang w:val="en-GB"/>
        </w:rPr>
      </w:pPr>
    </w:p>
    <w:p w14:paraId="30A6CC11" w14:textId="45EDCF54" w:rsidR="00B34009" w:rsidRDefault="00B34009" w:rsidP="00B34009">
      <w:pPr>
        <w:jc w:val="center"/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5A7FB3">
        <w:rPr>
          <w:rFonts w:ascii="Palatino Linotype" w:hAnsi="Palatino Linotype"/>
          <w:noProof/>
          <w:sz w:val="20"/>
          <w:szCs w:val="20"/>
          <w:lang w:val="en-GB" w:eastAsia="en-GB"/>
        </w:rPr>
        <w:drawing>
          <wp:inline distT="0" distB="0" distL="0" distR="0" wp14:anchorId="4F37B2A4" wp14:editId="26CD115A">
            <wp:extent cx="4493260" cy="1664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44AEC" w14:textId="77777777" w:rsidR="00B34009" w:rsidRDefault="00B34009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7F69C77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92C7103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B8D6667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230EE14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43DAF93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525108D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2C7B937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F11CA08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B297780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F36BF35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9F7EFD6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9F1F812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9B9AD9E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D685B85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EE5FBF2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758C37C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9D8042A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74C25B3" w14:textId="77777777" w:rsidR="00D57E86" w:rsidRDefault="00D57E86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B228733" w14:textId="77777777" w:rsidR="00EF2D45" w:rsidRDefault="00EF2D45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FDCA73E" w14:textId="7CFDAEA9" w:rsidR="00A312AA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lastRenderedPageBreak/>
        <w:t>Phylogeny:</w:t>
      </w:r>
      <w:r w:rsidR="0093579D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</w:p>
    <w:p w14:paraId="723934D4" w14:textId="37164174" w:rsidR="00C74088" w:rsidRDefault="00A312AA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Figure </w:t>
      </w:r>
      <w:r w:rsidR="00D82268"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93579D" w:rsidRPr="0093579D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53736">
        <w:rPr>
          <w:rFonts w:ascii="Arial" w:hAnsi="Arial" w:cs="Arial"/>
          <w:sz w:val="20"/>
          <w:szCs w:val="20"/>
          <w:lang w:val="en-GB"/>
        </w:rPr>
        <w:t>major capsid</w:t>
      </w:r>
      <w:r w:rsidR="0093579D" w:rsidRPr="00353736">
        <w:rPr>
          <w:rFonts w:ascii="Arial" w:hAnsi="Arial" w:cs="Arial"/>
          <w:sz w:val="20"/>
          <w:szCs w:val="20"/>
          <w:lang w:val="en-GB"/>
        </w:rPr>
        <w:t xml:space="preserve"> protein</w:t>
      </w:r>
      <w:r w:rsidR="005A416B" w:rsidRPr="00353736">
        <w:rPr>
          <w:rFonts w:ascii="Arial" w:hAnsi="Arial" w:cs="Arial"/>
          <w:sz w:val="20"/>
          <w:szCs w:val="20"/>
          <w:lang w:val="en-GB"/>
        </w:rPr>
        <w:t>s</w:t>
      </w:r>
      <w:r w:rsidR="0093579D" w:rsidRPr="00353736">
        <w:rPr>
          <w:rFonts w:ascii="Arial" w:hAnsi="Arial" w:cs="Arial"/>
          <w:sz w:val="20"/>
          <w:szCs w:val="20"/>
          <w:lang w:val="en-GB"/>
        </w:rPr>
        <w:t xml:space="preserve"> from phage</w:t>
      </w:r>
      <w:r w:rsidR="005A416B" w:rsidRPr="00353736">
        <w:rPr>
          <w:rFonts w:ascii="Arial" w:hAnsi="Arial" w:cs="Arial"/>
          <w:sz w:val="20"/>
          <w:szCs w:val="20"/>
          <w:lang w:val="en-GB"/>
        </w:rPr>
        <w:t xml:space="preserve"> </w:t>
      </w:r>
      <w:r w:rsidR="005A416B" w:rsidRPr="00353736">
        <w:rPr>
          <w:rFonts w:ascii="Arial" w:hAnsi="Arial" w:cs="Arial"/>
          <w:sz w:val="20"/>
          <w:szCs w:val="20"/>
        </w:rPr>
        <w:t>φM1</w:t>
      </w:r>
      <w:r w:rsidR="0093579D" w:rsidRPr="0093579D">
        <w:rPr>
          <w:rFonts w:ascii="Arial" w:hAnsi="Arial" w:cs="Arial"/>
          <w:sz w:val="20"/>
          <w:szCs w:val="20"/>
          <w:lang w:val="en-GB"/>
        </w:rPr>
        <w:t xml:space="preserve"> and homologs were analysed using </w:t>
      </w:r>
      <w:r>
        <w:rPr>
          <w:rFonts w:ascii="Arial" w:hAnsi="Arial" w:cs="Arial"/>
          <w:sz w:val="20"/>
          <w:szCs w:val="20"/>
          <w:lang w:val="en-GB"/>
        </w:rPr>
        <w:t>maximum likelihood (</w:t>
      </w:r>
      <w:r w:rsidRPr="00A312AA">
        <w:rPr>
          <w:rFonts w:ascii="Arial" w:hAnsi="Arial" w:cs="Arial"/>
          <w:sz w:val="20"/>
          <w:szCs w:val="20"/>
          <w:lang w:val="en-GB"/>
        </w:rPr>
        <w:t>Whelan</w:t>
      </w:r>
      <w:r w:rsidR="00E473C8">
        <w:rPr>
          <w:rFonts w:ascii="Arial" w:hAnsi="Arial" w:cs="Arial"/>
          <w:sz w:val="20"/>
          <w:szCs w:val="20"/>
          <w:lang w:val="en-GB"/>
        </w:rPr>
        <w:t xml:space="preserve"> </w:t>
      </w:r>
      <w:r w:rsidRPr="00A312AA">
        <w:rPr>
          <w:rFonts w:ascii="Arial" w:hAnsi="Arial" w:cs="Arial"/>
          <w:sz w:val="20"/>
          <w:szCs w:val="20"/>
          <w:lang w:val="en-GB"/>
        </w:rPr>
        <w:t>and Goldman substitution model), with 1000 bootstrap replicates</w:t>
      </w:r>
      <w:r w:rsidR="002D3E49">
        <w:rPr>
          <w:rFonts w:ascii="Arial" w:hAnsi="Arial" w:cs="Arial"/>
          <w:sz w:val="20"/>
          <w:szCs w:val="20"/>
          <w:lang w:val="en-GB"/>
        </w:rPr>
        <w:t xml:space="preserve"> using MEGA7[6]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. Members of the </w:t>
      </w:r>
      <w:r w:rsidRPr="00A312AA">
        <w:rPr>
          <w:rFonts w:ascii="Arial" w:hAnsi="Arial" w:cs="Arial"/>
          <w:i/>
          <w:sz w:val="20"/>
          <w:szCs w:val="20"/>
          <w:lang w:val="en-GB"/>
        </w:rPr>
        <w:t>T7virus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, </w:t>
      </w:r>
      <w:r w:rsidRPr="00A312AA">
        <w:rPr>
          <w:rFonts w:ascii="Arial" w:hAnsi="Arial" w:cs="Arial"/>
          <w:i/>
          <w:sz w:val="20"/>
          <w:szCs w:val="20"/>
          <w:lang w:val="en-GB"/>
        </w:rPr>
        <w:t>SP6virus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, </w:t>
      </w:r>
      <w:r w:rsidRPr="00A312AA">
        <w:rPr>
          <w:rFonts w:ascii="Arial" w:hAnsi="Arial" w:cs="Arial"/>
          <w:i/>
          <w:sz w:val="20"/>
          <w:szCs w:val="20"/>
          <w:lang w:val="en-GB"/>
        </w:rPr>
        <w:t>KP34virus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, </w:t>
      </w:r>
      <w:r w:rsidRPr="00A312AA">
        <w:rPr>
          <w:rFonts w:ascii="Arial" w:hAnsi="Arial" w:cs="Arial"/>
          <w:i/>
          <w:sz w:val="20"/>
          <w:szCs w:val="20"/>
          <w:lang w:val="en-GB"/>
        </w:rPr>
        <w:t>Frivirus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, </w:t>
      </w:r>
      <w:r w:rsidRPr="00A312AA">
        <w:rPr>
          <w:rFonts w:ascii="Arial" w:hAnsi="Arial" w:cs="Arial"/>
          <w:i/>
          <w:sz w:val="20"/>
          <w:szCs w:val="20"/>
          <w:lang w:val="en-GB"/>
        </w:rPr>
        <w:t>Pradovirus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, </w:t>
      </w:r>
      <w:r w:rsidRPr="00A312AA">
        <w:rPr>
          <w:rFonts w:ascii="Arial" w:hAnsi="Arial" w:cs="Arial"/>
          <w:i/>
          <w:sz w:val="20"/>
          <w:szCs w:val="20"/>
          <w:lang w:val="en-GB"/>
        </w:rPr>
        <w:t>KP32virus</w:t>
      </w:r>
      <w:r w:rsidRPr="00A312AA">
        <w:rPr>
          <w:rFonts w:ascii="Arial" w:hAnsi="Arial" w:cs="Arial"/>
          <w:sz w:val="20"/>
          <w:szCs w:val="20"/>
          <w:lang w:val="en-GB"/>
        </w:rPr>
        <w:t xml:space="preserve"> are illustrated</w:t>
      </w:r>
      <w:r w:rsidR="0093579D" w:rsidRPr="0093579D">
        <w:rPr>
          <w:rFonts w:ascii="Arial" w:hAnsi="Arial" w:cs="Arial"/>
          <w:sz w:val="20"/>
          <w:szCs w:val="20"/>
          <w:lang w:val="en-GB"/>
        </w:rPr>
        <w:t>.</w:t>
      </w:r>
    </w:p>
    <w:p w14:paraId="028B3B34" w14:textId="77777777" w:rsidR="00D57E86" w:rsidRPr="0093579D" w:rsidRDefault="00D57E86" w:rsidP="00AC0E72">
      <w:pPr>
        <w:rPr>
          <w:rFonts w:ascii="Arial" w:hAnsi="Arial" w:cs="Arial"/>
          <w:sz w:val="20"/>
          <w:szCs w:val="20"/>
          <w:lang w:val="en-GB"/>
        </w:rPr>
      </w:pPr>
    </w:p>
    <w:p w14:paraId="67123312" w14:textId="1F505A54" w:rsidR="00AC0E72" w:rsidRDefault="004508DA" w:rsidP="00AC0E72">
      <w:pPr>
        <w:rPr>
          <w:lang w:val="en-GB"/>
        </w:rPr>
      </w:pPr>
      <w:r w:rsidRPr="005A7FB3">
        <w:rPr>
          <w:rFonts w:ascii="Palatino Linotype" w:hAnsi="Palatino Linotype"/>
          <w:noProof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en-GB" w:eastAsia="en-GB"/>
        </w:rPr>
        <w:drawing>
          <wp:inline distT="0" distB="0" distL="0" distR="0" wp14:anchorId="68A5FF83" wp14:editId="4F4233FB">
            <wp:extent cx="3795623" cy="7703071"/>
            <wp:effectExtent l="0" t="0" r="0" b="0"/>
            <wp:docPr id="6" name="Picture 6" descr="C:\Users\Colin\Dropbox\Lab results\Annotation of CB phage\New genomes 2017\CB5\CB5 postion corrected\Phylogentics of KMV like phages\phimunavirus 1000\Major capsid Phimunavirus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Dropbox\Lab results\Annotation of CB phage\New genomes 2017\CB5\CB5 postion corrected\Phylogentics of KMV like phages\phimunavirus 1000\Major capsid Phimunavirus 10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4"/>
                    <a:stretch/>
                  </pic:blipFill>
                  <pic:spPr bwMode="auto">
                    <a:xfrm>
                      <a:off x="0" y="0"/>
                      <a:ext cx="3795623" cy="770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1107CD15" w14:textId="77777777" w:rsidR="00512E1B" w:rsidRDefault="00512E1B" w:rsidP="00AC0E72">
      <w:pPr>
        <w:rPr>
          <w:lang w:val="en-GB"/>
        </w:rPr>
      </w:pPr>
    </w:p>
    <w:p w14:paraId="4530CF6B" w14:textId="77777777" w:rsidR="00512E1B" w:rsidRDefault="00512E1B" w:rsidP="00AC0E72">
      <w:pPr>
        <w:rPr>
          <w:rFonts w:ascii="Arial" w:hAnsi="Arial" w:cs="Arial"/>
          <w:sz w:val="20"/>
          <w:szCs w:val="20"/>
          <w:lang w:val="en-GB"/>
        </w:rPr>
      </w:pPr>
    </w:p>
    <w:p w14:paraId="544B2834" w14:textId="639423DD" w:rsidR="00E640CA" w:rsidRDefault="00B34009" w:rsidP="00AC0E72">
      <w:pPr>
        <w:rPr>
          <w:rFonts w:ascii="Arial" w:hAnsi="Arial" w:cs="Arial"/>
          <w:sz w:val="20"/>
          <w:szCs w:val="20"/>
          <w:lang w:val="en-GB"/>
        </w:rPr>
      </w:pPr>
      <w:r w:rsidRPr="00B34009">
        <w:rPr>
          <w:rFonts w:ascii="Arial" w:hAnsi="Arial" w:cs="Arial"/>
          <w:sz w:val="20"/>
          <w:szCs w:val="20"/>
          <w:lang w:val="en-GB"/>
        </w:rPr>
        <w:lastRenderedPageBreak/>
        <w:t xml:space="preserve">Figure </w:t>
      </w:r>
      <w:r w:rsidR="00D82268">
        <w:rPr>
          <w:rFonts w:ascii="Arial" w:hAnsi="Arial" w:cs="Arial"/>
          <w:sz w:val="20"/>
          <w:szCs w:val="20"/>
          <w:lang w:val="en-GB"/>
        </w:rPr>
        <w:t>3</w:t>
      </w:r>
      <w:r w:rsidRPr="00B34009">
        <w:rPr>
          <w:rFonts w:ascii="Arial" w:hAnsi="Arial" w:cs="Arial"/>
          <w:sz w:val="20"/>
          <w:szCs w:val="20"/>
          <w:lang w:val="en-GB"/>
        </w:rPr>
        <w:t xml:space="preserve">. </w:t>
      </w:r>
      <w:r w:rsidR="00A312AA">
        <w:rPr>
          <w:rFonts w:ascii="Arial" w:hAnsi="Arial" w:cs="Arial"/>
          <w:sz w:val="20"/>
          <w:szCs w:val="20"/>
          <w:lang w:val="en-GB"/>
        </w:rPr>
        <w:t>BLASTN s</w:t>
      </w:r>
      <w:r w:rsidR="00E640CA" w:rsidRPr="00B34009">
        <w:rPr>
          <w:rFonts w:ascii="Arial" w:hAnsi="Arial" w:cs="Arial"/>
          <w:sz w:val="20"/>
          <w:szCs w:val="20"/>
          <w:lang w:val="en-GB"/>
        </w:rPr>
        <w:t>ynteny plot of the four species visualised with EasyFig [</w:t>
      </w:r>
      <w:r w:rsidR="002D3E49">
        <w:rPr>
          <w:rFonts w:ascii="Arial" w:hAnsi="Arial" w:cs="Arial"/>
          <w:sz w:val="20"/>
          <w:szCs w:val="20"/>
          <w:lang w:val="en-GB"/>
        </w:rPr>
        <w:t>7</w:t>
      </w:r>
      <w:r w:rsidR="00E640CA" w:rsidRPr="00B34009">
        <w:rPr>
          <w:rFonts w:ascii="Arial" w:hAnsi="Arial" w:cs="Arial"/>
          <w:sz w:val="20"/>
          <w:szCs w:val="20"/>
          <w:lang w:val="en-GB"/>
        </w:rPr>
        <w:t>]. The scale bar shows the level of nucleotide identity</w:t>
      </w:r>
      <w:r w:rsidR="00A312AA">
        <w:rPr>
          <w:rFonts w:ascii="Arial" w:hAnsi="Arial" w:cs="Arial"/>
          <w:sz w:val="20"/>
          <w:szCs w:val="20"/>
          <w:lang w:val="en-GB"/>
        </w:rPr>
        <w:t xml:space="preserve">. </w:t>
      </w:r>
      <w:r w:rsidR="00A312AA" w:rsidRPr="00A312AA">
        <w:rPr>
          <w:rFonts w:ascii="Arial" w:hAnsi="Arial" w:cs="Arial"/>
          <w:sz w:val="20"/>
          <w:szCs w:val="20"/>
          <w:lang w:val="en-GB"/>
        </w:rPr>
        <w:t>Arrows have been color-coded describing their predicted roles (see key)</w:t>
      </w:r>
      <w:r w:rsidR="00A312AA">
        <w:rPr>
          <w:rFonts w:ascii="Arial" w:hAnsi="Arial" w:cs="Arial"/>
          <w:sz w:val="20"/>
          <w:szCs w:val="20"/>
          <w:lang w:val="en-GB"/>
        </w:rPr>
        <w:t>.</w:t>
      </w:r>
    </w:p>
    <w:p w14:paraId="04951A63" w14:textId="77777777" w:rsidR="00A312AA" w:rsidRPr="00B34009" w:rsidRDefault="00A312AA" w:rsidP="00AC0E72">
      <w:pPr>
        <w:rPr>
          <w:lang w:val="en-GB"/>
        </w:rPr>
      </w:pPr>
    </w:p>
    <w:p w14:paraId="0035CC18" w14:textId="2B219893" w:rsidR="00E640CA" w:rsidRDefault="00A312AA" w:rsidP="00AC0E72">
      <w:pPr>
        <w:rPr>
          <w:lang w:val="en-GB"/>
        </w:rPr>
      </w:pPr>
      <w:r w:rsidRPr="005A7FB3">
        <w:rPr>
          <w:rFonts w:ascii="Palatino Linotype" w:hAnsi="Palatino Linotype"/>
          <w:noProof/>
          <w:sz w:val="20"/>
          <w:szCs w:val="20"/>
          <w:lang w:val="en-GB" w:eastAsia="en-GB"/>
        </w:rPr>
        <w:drawing>
          <wp:inline distT="0" distB="0" distL="0" distR="0" wp14:anchorId="7BB4DFCE" wp14:editId="48FCF3CB">
            <wp:extent cx="6007735" cy="3077863"/>
            <wp:effectExtent l="0" t="0" r="0" b="8255"/>
            <wp:docPr id="3" name="Picture 3" descr="C:\Users\Colin\Desktop\f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Desktop\fi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8" b="13001"/>
                    <a:stretch/>
                  </pic:blipFill>
                  <pic:spPr bwMode="auto">
                    <a:xfrm>
                      <a:off x="0" y="0"/>
                      <a:ext cx="6007735" cy="30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2E71379" w14:textId="77777777" w:rsidR="00A312AA" w:rsidRDefault="00A312AA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5675" w14:textId="5E18E53D" w:rsidR="001C418E" w:rsidRPr="001C418E" w:rsidRDefault="00FA46AF" w:rsidP="001C418E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bookmarkStart w:id="8" w:name="_Hlk515371617"/>
            <w:r>
              <w:rPr>
                <w:rFonts w:ascii="Arial" w:hAnsi="Arial" w:cs="Arial"/>
                <w:color w:val="000000"/>
                <w:sz w:val="20"/>
              </w:rPr>
              <w:t>1.</w:t>
            </w:r>
            <w:bookmarkEnd w:id="8"/>
            <w:r w:rsidR="00D109CA">
              <w:t xml:space="preserve"> </w:t>
            </w:r>
            <w:r w:rsidR="001C418E" w:rsidRPr="00561A87">
              <w:rPr>
                <w:rFonts w:ascii="Arial" w:hAnsi="Arial" w:cs="Arial"/>
                <w:color w:val="000000"/>
                <w:sz w:val="20"/>
              </w:rPr>
              <w:t>Buttimer C.; Lucid A.; Neve H.; Franz C.M.A.P.; O’Mahony J.; Turner, D.; Lavigne R.; Coffey A. Pectobacterium atrosepticum phage vB_PatP_CB5 a member of the proposed genus ‘Phimunavirus’. Viruses. 2018. In press</w:t>
            </w:r>
          </w:p>
          <w:p w14:paraId="502813E2" w14:textId="30564B18" w:rsidR="0046297B" w:rsidRDefault="00FA46AF" w:rsidP="002D3E49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561A8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1A87" w:rsidRPr="00561A87">
              <w:rPr>
                <w:rFonts w:ascii="Arial" w:hAnsi="Arial" w:cs="Arial"/>
                <w:color w:val="000000"/>
                <w:sz w:val="20"/>
              </w:rPr>
              <w:t>Toth, I. K.; Mulholland, V.; Cooper, V.; Bentley, S.; Shih, Y.; Perombelon, M. C. M.; Salmond, G. P. C. Generalized transduction in the potato blackleg pathogen Ewinia carotovora subsp. atroseptica by bacteriophage φM1. Microbiology 1997, 143, 2433–2438</w:t>
            </w:r>
          </w:p>
          <w:p w14:paraId="123438D3" w14:textId="7C1F4E51" w:rsidR="00561A87" w:rsidRPr="00B34009" w:rsidRDefault="00FA46AF" w:rsidP="001C418E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 w:rsidR="001C418E" w:rsidRPr="00D109CA">
              <w:rPr>
                <w:rFonts w:ascii="Arial" w:hAnsi="Arial" w:cs="Arial"/>
                <w:color w:val="000000"/>
                <w:sz w:val="20"/>
              </w:rPr>
              <w:t>Blower, T. R.; Chai, R.; Przybilski, R.; Chindhy, S.; Fang, X.; Kidman, S. E.; Tan, H.; Luisi, B. F.; Fineran, P. C.; Salmond, G. P. C. Evolution of Pectobacterium Bacteriophage ΦM1 To Escape Two Bifunctional Type III Toxin-Antitoxin and Abortive Infection Systems through Mutations in a Single Viral Gene. Appl. Environ. Microbiol. 2017, 83, AEM.03229-16, doi:10.1128/AEM.03229-16.</w:t>
            </w:r>
          </w:p>
          <w:p w14:paraId="408E3789" w14:textId="7F2D4C5C" w:rsidR="00561A87" w:rsidRDefault="00FA46AF" w:rsidP="002D3E49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561A87" w:rsidRPr="00561A87">
              <w:rPr>
                <w:rFonts w:ascii="Arial" w:hAnsi="Arial" w:cs="Arial"/>
                <w:color w:val="000000"/>
                <w:sz w:val="20"/>
              </w:rPr>
              <w:t>Kalischuk, M.; Hachey, J.; Kawchuk, L. Complete Genome Sequence of Phytopathogenic Pectobacterium atrosepticum Bacteriophage Peat1. Genome Announc. 2015, 3, doi:10.1128/genomeA.00760-15</w:t>
            </w:r>
          </w:p>
          <w:p w14:paraId="5C10DA00" w14:textId="07D75CF0" w:rsidR="0002659B" w:rsidRDefault="00FA46AF" w:rsidP="002D3E49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="00561A87" w:rsidRPr="00B34009">
              <w:rPr>
                <w:rFonts w:ascii="Arial" w:hAnsi="Arial" w:cs="Arial"/>
                <w:color w:val="000000"/>
                <w:sz w:val="20"/>
              </w:rPr>
              <w:t>Turner, D.; Reynolds, D.; Seto, D.; Mahadevan, P. CoreGenes3.5: a webserver for the determination of core genes from sets of viral and small bacterial genomes. BMC Res. Notes 2013, 6, 140, doi:10.1186/1756-0500-6-140</w:t>
            </w:r>
          </w:p>
          <w:p w14:paraId="225BD96E" w14:textId="6C150BDF" w:rsidR="00561A87" w:rsidRPr="00FA46AF" w:rsidRDefault="00FA46AF" w:rsidP="002D3E49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r w:rsidRPr="00FA46AF">
              <w:rPr>
                <w:rFonts w:ascii="Arial" w:hAnsi="Arial" w:cs="Arial"/>
                <w:color w:val="000000"/>
                <w:sz w:val="20"/>
              </w:rPr>
              <w:t>Kumar S</w:t>
            </w:r>
            <w:r>
              <w:rPr>
                <w:rFonts w:ascii="Arial" w:hAnsi="Arial" w:cs="Arial"/>
                <w:color w:val="000000"/>
                <w:sz w:val="20"/>
              </w:rPr>
              <w:t>.;</w:t>
            </w:r>
            <w:r w:rsidRPr="00FA46AF">
              <w:rPr>
                <w:rFonts w:ascii="Arial" w:hAnsi="Arial" w:cs="Arial"/>
                <w:color w:val="000000"/>
                <w:sz w:val="20"/>
              </w:rPr>
              <w:t xml:space="preserve"> Stecher G</w:t>
            </w:r>
            <w:r>
              <w:rPr>
                <w:rFonts w:ascii="Arial" w:hAnsi="Arial" w:cs="Arial"/>
                <w:color w:val="000000"/>
                <w:sz w:val="20"/>
              </w:rPr>
              <w:t>.;</w:t>
            </w:r>
            <w:r w:rsidRPr="00FA46AF">
              <w:rPr>
                <w:rFonts w:ascii="Arial" w:hAnsi="Arial" w:cs="Arial"/>
                <w:color w:val="000000"/>
                <w:sz w:val="20"/>
              </w:rPr>
              <w:t xml:space="preserve"> Tamura K.</w:t>
            </w:r>
            <w:r>
              <w:rPr>
                <w:rFonts w:ascii="Arial" w:hAnsi="Arial" w:cs="Arial"/>
                <w:color w:val="000000"/>
                <w:sz w:val="20"/>
              </w:rPr>
              <w:t>;</w:t>
            </w:r>
            <w:r w:rsidRPr="00FA46AF">
              <w:rPr>
                <w:rFonts w:ascii="Arial" w:hAnsi="Arial" w:cs="Arial"/>
                <w:color w:val="000000"/>
                <w:sz w:val="20"/>
              </w:rPr>
              <w:t xml:space="preserve"> MEGA7: Molecular Evolutionary Genetics Analysis Version 7.0 for Bigger Datasets. Mol. Biol. Evol. 2016,33, 1870–4, doi:10.1093/molbev/msw054.</w:t>
            </w:r>
          </w:p>
          <w:p w14:paraId="7FB996D1" w14:textId="44E3FFF4" w:rsidR="00FA46AF" w:rsidRPr="0002659B" w:rsidRDefault="00561A87" w:rsidP="00FA46AF">
            <w:pPr>
              <w:pStyle w:val="BodyTextIndent"/>
              <w:ind w:left="720" w:hanging="68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>: Sullivan</w:t>
            </w:r>
            <w:r w:rsidR="00FA46AF">
              <w:rPr>
                <w:rFonts w:ascii="Arial" w:hAnsi="Arial" w:cs="Arial"/>
                <w:color w:val="000000"/>
                <w:sz w:val="20"/>
              </w:rPr>
              <w:t>,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 xml:space="preserve"> M</w:t>
            </w:r>
            <w:r w:rsidR="00FA46AF">
              <w:rPr>
                <w:rFonts w:ascii="Arial" w:hAnsi="Arial" w:cs="Arial"/>
                <w:color w:val="000000"/>
                <w:sz w:val="20"/>
              </w:rPr>
              <w:t>.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>J</w:t>
            </w:r>
            <w:r w:rsidR="00FA46AF">
              <w:rPr>
                <w:rFonts w:ascii="Arial" w:hAnsi="Arial" w:cs="Arial"/>
                <w:color w:val="000000"/>
                <w:sz w:val="20"/>
              </w:rPr>
              <w:t>.;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 xml:space="preserve"> Petty</w:t>
            </w:r>
            <w:r w:rsidR="00FA46AF">
              <w:rPr>
                <w:rFonts w:ascii="Arial" w:hAnsi="Arial" w:cs="Arial"/>
                <w:color w:val="000000"/>
                <w:sz w:val="20"/>
              </w:rPr>
              <w:t>,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 xml:space="preserve"> N</w:t>
            </w:r>
            <w:r w:rsidR="00FA46AF">
              <w:rPr>
                <w:rFonts w:ascii="Arial" w:hAnsi="Arial" w:cs="Arial"/>
                <w:color w:val="000000"/>
                <w:sz w:val="20"/>
              </w:rPr>
              <w:t>.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>K</w:t>
            </w:r>
            <w:r w:rsidR="00FA46AF">
              <w:rPr>
                <w:rFonts w:ascii="Arial" w:hAnsi="Arial" w:cs="Arial"/>
                <w:color w:val="000000"/>
                <w:sz w:val="20"/>
              </w:rPr>
              <w:t>.;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 xml:space="preserve"> Beatson</w:t>
            </w:r>
            <w:r w:rsidR="00FA46AF">
              <w:rPr>
                <w:rFonts w:ascii="Arial" w:hAnsi="Arial" w:cs="Arial"/>
                <w:color w:val="000000"/>
                <w:sz w:val="20"/>
              </w:rPr>
              <w:t>,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 xml:space="preserve"> S</w:t>
            </w:r>
            <w:r w:rsidR="00FA46AF">
              <w:rPr>
                <w:rFonts w:ascii="Arial" w:hAnsi="Arial" w:cs="Arial"/>
                <w:color w:val="000000"/>
                <w:sz w:val="20"/>
              </w:rPr>
              <w:t>.</w:t>
            </w:r>
            <w:r w:rsidR="00FA46AF" w:rsidRPr="00FA46AF">
              <w:rPr>
                <w:rFonts w:ascii="Arial" w:hAnsi="Arial" w:cs="Arial"/>
                <w:color w:val="000000"/>
                <w:sz w:val="20"/>
              </w:rPr>
              <w:t>A. Easyfig: a genome comparison visualizer. Bioinformatics. 2011; 27(7): 1009-1010.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0BF4" w14:textId="77777777" w:rsidR="00840701" w:rsidRDefault="00840701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4AB2F62" w14:textId="77777777" w:rsidR="00840701" w:rsidRDefault="00840701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04B2615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C373B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C373B">
      <w:rPr>
        <w:rFonts w:ascii="Arial" w:hAnsi="Arial" w:cs="Arial"/>
        <w:noProof/>
        <w:color w:val="808080"/>
        <w:sz w:val="20"/>
      </w:rPr>
      <w:t>5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A078" w14:textId="77777777" w:rsidR="00840701" w:rsidRDefault="00840701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78B8AE11" w14:textId="77777777" w:rsidR="00840701" w:rsidRDefault="00840701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D7B"/>
    <w:multiLevelType w:val="hybridMultilevel"/>
    <w:tmpl w:val="1F4A99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A6F"/>
    <w:multiLevelType w:val="hybridMultilevel"/>
    <w:tmpl w:val="AC4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8"/>
  </w:num>
  <w:num w:numId="5">
    <w:abstractNumId w:val="21"/>
  </w:num>
  <w:num w:numId="6">
    <w:abstractNumId w:val="9"/>
  </w:num>
  <w:num w:numId="7">
    <w:abstractNumId w:val="14"/>
  </w:num>
  <w:num w:numId="8">
    <w:abstractNumId w:val="16"/>
  </w:num>
  <w:num w:numId="9">
    <w:abstractNumId w:val="2"/>
  </w:num>
  <w:num w:numId="10">
    <w:abstractNumId w:val="12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6"/>
  </w:num>
  <w:num w:numId="17">
    <w:abstractNumId w:val="17"/>
  </w:num>
  <w:num w:numId="18">
    <w:abstractNumId w:val="13"/>
  </w:num>
  <w:num w:numId="19">
    <w:abstractNumId w:val="5"/>
  </w:num>
  <w:num w:numId="20">
    <w:abstractNumId w:val="25"/>
  </w:num>
  <w:num w:numId="21">
    <w:abstractNumId w:val="4"/>
  </w:num>
  <w:num w:numId="22">
    <w:abstractNumId w:val="7"/>
  </w:num>
  <w:num w:numId="23">
    <w:abstractNumId w:val="15"/>
  </w:num>
  <w:num w:numId="24">
    <w:abstractNumId w:val="10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5"/>
    <w:rsid w:val="00004F39"/>
    <w:rsid w:val="00010B2C"/>
    <w:rsid w:val="0001429E"/>
    <w:rsid w:val="00016519"/>
    <w:rsid w:val="00024051"/>
    <w:rsid w:val="0002659B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444A"/>
    <w:rsid w:val="001551A8"/>
    <w:rsid w:val="001578A6"/>
    <w:rsid w:val="001664DF"/>
    <w:rsid w:val="00166D55"/>
    <w:rsid w:val="0017329D"/>
    <w:rsid w:val="00173983"/>
    <w:rsid w:val="0017739A"/>
    <w:rsid w:val="001811B7"/>
    <w:rsid w:val="00184EA0"/>
    <w:rsid w:val="00185699"/>
    <w:rsid w:val="001946B2"/>
    <w:rsid w:val="001C418E"/>
    <w:rsid w:val="001C4369"/>
    <w:rsid w:val="001C5EE1"/>
    <w:rsid w:val="001C6474"/>
    <w:rsid w:val="001D3D81"/>
    <w:rsid w:val="001E1AC2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1EA0"/>
    <w:rsid w:val="0028367A"/>
    <w:rsid w:val="00283FE0"/>
    <w:rsid w:val="0028627E"/>
    <w:rsid w:val="00291213"/>
    <w:rsid w:val="0029234F"/>
    <w:rsid w:val="002930D6"/>
    <w:rsid w:val="00295698"/>
    <w:rsid w:val="002978A6"/>
    <w:rsid w:val="002A4018"/>
    <w:rsid w:val="002A7D6D"/>
    <w:rsid w:val="002B75AB"/>
    <w:rsid w:val="002D3E49"/>
    <w:rsid w:val="002E36D5"/>
    <w:rsid w:val="002E4CF9"/>
    <w:rsid w:val="00304104"/>
    <w:rsid w:val="00306A5E"/>
    <w:rsid w:val="00315AEE"/>
    <w:rsid w:val="00342A81"/>
    <w:rsid w:val="00342D4D"/>
    <w:rsid w:val="003433D8"/>
    <w:rsid w:val="0034563C"/>
    <w:rsid w:val="00353736"/>
    <w:rsid w:val="003538F3"/>
    <w:rsid w:val="003563FA"/>
    <w:rsid w:val="003623D9"/>
    <w:rsid w:val="00364F36"/>
    <w:rsid w:val="003676E2"/>
    <w:rsid w:val="0037196B"/>
    <w:rsid w:val="00372AC1"/>
    <w:rsid w:val="00377A06"/>
    <w:rsid w:val="00384049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05D87"/>
    <w:rsid w:val="00413670"/>
    <w:rsid w:val="004152C9"/>
    <w:rsid w:val="00422FF0"/>
    <w:rsid w:val="004435EC"/>
    <w:rsid w:val="00444E1E"/>
    <w:rsid w:val="00447321"/>
    <w:rsid w:val="0044774D"/>
    <w:rsid w:val="004508DA"/>
    <w:rsid w:val="0046297B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2E1B"/>
    <w:rsid w:val="00513671"/>
    <w:rsid w:val="00516D9F"/>
    <w:rsid w:val="005201AD"/>
    <w:rsid w:val="00521073"/>
    <w:rsid w:val="00522E71"/>
    <w:rsid w:val="00530EFE"/>
    <w:rsid w:val="00534EED"/>
    <w:rsid w:val="005368BD"/>
    <w:rsid w:val="005557FC"/>
    <w:rsid w:val="00561A87"/>
    <w:rsid w:val="00572D74"/>
    <w:rsid w:val="00581ED1"/>
    <w:rsid w:val="00590D25"/>
    <w:rsid w:val="005929A4"/>
    <w:rsid w:val="005953F1"/>
    <w:rsid w:val="005A416B"/>
    <w:rsid w:val="005B600C"/>
    <w:rsid w:val="005C21A3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2666C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11B8"/>
    <w:rsid w:val="007135C0"/>
    <w:rsid w:val="00715B64"/>
    <w:rsid w:val="00720D17"/>
    <w:rsid w:val="00724281"/>
    <w:rsid w:val="00724490"/>
    <w:rsid w:val="00725A69"/>
    <w:rsid w:val="00736F49"/>
    <w:rsid w:val="0073793D"/>
    <w:rsid w:val="00746025"/>
    <w:rsid w:val="00751194"/>
    <w:rsid w:val="00752D7B"/>
    <w:rsid w:val="007602A2"/>
    <w:rsid w:val="00762756"/>
    <w:rsid w:val="00764FA3"/>
    <w:rsid w:val="0076759D"/>
    <w:rsid w:val="00774CB4"/>
    <w:rsid w:val="0077546A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28E6"/>
    <w:rsid w:val="007E592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0701"/>
    <w:rsid w:val="008418CD"/>
    <w:rsid w:val="008442CB"/>
    <w:rsid w:val="008563BE"/>
    <w:rsid w:val="008655D6"/>
    <w:rsid w:val="00872088"/>
    <w:rsid w:val="0087244F"/>
    <w:rsid w:val="008762E5"/>
    <w:rsid w:val="00890FAF"/>
    <w:rsid w:val="00891C67"/>
    <w:rsid w:val="008A612E"/>
    <w:rsid w:val="008B6D5E"/>
    <w:rsid w:val="008C2CC4"/>
    <w:rsid w:val="008C373B"/>
    <w:rsid w:val="008C7B86"/>
    <w:rsid w:val="008E10B7"/>
    <w:rsid w:val="008E2333"/>
    <w:rsid w:val="008E4E0F"/>
    <w:rsid w:val="008E6B2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579D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A6F42"/>
    <w:rsid w:val="009B1712"/>
    <w:rsid w:val="009B6F9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12AA"/>
    <w:rsid w:val="00A36B4E"/>
    <w:rsid w:val="00A3774F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C16B3"/>
    <w:rsid w:val="00AC3B34"/>
    <w:rsid w:val="00AD11F4"/>
    <w:rsid w:val="00AD3814"/>
    <w:rsid w:val="00AE2858"/>
    <w:rsid w:val="00AF38D1"/>
    <w:rsid w:val="00AF5D20"/>
    <w:rsid w:val="00AF63CD"/>
    <w:rsid w:val="00AF65C7"/>
    <w:rsid w:val="00B04CD6"/>
    <w:rsid w:val="00B12A01"/>
    <w:rsid w:val="00B12D76"/>
    <w:rsid w:val="00B216A1"/>
    <w:rsid w:val="00B2254A"/>
    <w:rsid w:val="00B31EC3"/>
    <w:rsid w:val="00B34009"/>
    <w:rsid w:val="00B34F6A"/>
    <w:rsid w:val="00B35A21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1031"/>
    <w:rsid w:val="00BA3080"/>
    <w:rsid w:val="00BB7D24"/>
    <w:rsid w:val="00BD3592"/>
    <w:rsid w:val="00BD4541"/>
    <w:rsid w:val="00BD47D7"/>
    <w:rsid w:val="00BE06F9"/>
    <w:rsid w:val="00BE18E9"/>
    <w:rsid w:val="00BF7AA8"/>
    <w:rsid w:val="00C02177"/>
    <w:rsid w:val="00C06EE4"/>
    <w:rsid w:val="00C12C1B"/>
    <w:rsid w:val="00C15EC4"/>
    <w:rsid w:val="00C165C2"/>
    <w:rsid w:val="00C21252"/>
    <w:rsid w:val="00C245DB"/>
    <w:rsid w:val="00C3224F"/>
    <w:rsid w:val="00C44DF4"/>
    <w:rsid w:val="00C46C65"/>
    <w:rsid w:val="00C55862"/>
    <w:rsid w:val="00C64F92"/>
    <w:rsid w:val="00C67A98"/>
    <w:rsid w:val="00C74088"/>
    <w:rsid w:val="00C75039"/>
    <w:rsid w:val="00C762C9"/>
    <w:rsid w:val="00C76408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C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26A77"/>
    <w:rsid w:val="00D45CE9"/>
    <w:rsid w:val="00D4648E"/>
    <w:rsid w:val="00D57E86"/>
    <w:rsid w:val="00D6107E"/>
    <w:rsid w:val="00D62298"/>
    <w:rsid w:val="00D70DF3"/>
    <w:rsid w:val="00D82268"/>
    <w:rsid w:val="00D87539"/>
    <w:rsid w:val="00DA5352"/>
    <w:rsid w:val="00DA5E5A"/>
    <w:rsid w:val="00DA71AC"/>
    <w:rsid w:val="00DA7AE7"/>
    <w:rsid w:val="00DB3CB3"/>
    <w:rsid w:val="00DB4BB2"/>
    <w:rsid w:val="00DC2ACB"/>
    <w:rsid w:val="00DC2D0C"/>
    <w:rsid w:val="00DC6415"/>
    <w:rsid w:val="00DD00F3"/>
    <w:rsid w:val="00DD65CA"/>
    <w:rsid w:val="00DE105D"/>
    <w:rsid w:val="00DE183B"/>
    <w:rsid w:val="00DE1FCF"/>
    <w:rsid w:val="00DE21CE"/>
    <w:rsid w:val="00DE3E25"/>
    <w:rsid w:val="00DE73A3"/>
    <w:rsid w:val="00E03681"/>
    <w:rsid w:val="00E11C94"/>
    <w:rsid w:val="00E11F4F"/>
    <w:rsid w:val="00E30462"/>
    <w:rsid w:val="00E30A69"/>
    <w:rsid w:val="00E347C2"/>
    <w:rsid w:val="00E36F9D"/>
    <w:rsid w:val="00E37EEE"/>
    <w:rsid w:val="00E4413A"/>
    <w:rsid w:val="00E473C8"/>
    <w:rsid w:val="00E57A0B"/>
    <w:rsid w:val="00E60228"/>
    <w:rsid w:val="00E640CA"/>
    <w:rsid w:val="00E66C21"/>
    <w:rsid w:val="00E73F9A"/>
    <w:rsid w:val="00E946A5"/>
    <w:rsid w:val="00EA06D0"/>
    <w:rsid w:val="00EA1332"/>
    <w:rsid w:val="00EA5C82"/>
    <w:rsid w:val="00EA6CA5"/>
    <w:rsid w:val="00EB0413"/>
    <w:rsid w:val="00EB28C7"/>
    <w:rsid w:val="00EB5BAF"/>
    <w:rsid w:val="00EC0A4C"/>
    <w:rsid w:val="00EC11F1"/>
    <w:rsid w:val="00EC4F18"/>
    <w:rsid w:val="00EF2D45"/>
    <w:rsid w:val="00EF4E45"/>
    <w:rsid w:val="00EF6615"/>
    <w:rsid w:val="00EF7D67"/>
    <w:rsid w:val="00F005C8"/>
    <w:rsid w:val="00F00D95"/>
    <w:rsid w:val="00F038BC"/>
    <w:rsid w:val="00F050DB"/>
    <w:rsid w:val="00F071D8"/>
    <w:rsid w:val="00F31A99"/>
    <w:rsid w:val="00F32F6D"/>
    <w:rsid w:val="00F343F2"/>
    <w:rsid w:val="00F369A4"/>
    <w:rsid w:val="00F41198"/>
    <w:rsid w:val="00F41F8B"/>
    <w:rsid w:val="00F42095"/>
    <w:rsid w:val="00F44D53"/>
    <w:rsid w:val="00F4759E"/>
    <w:rsid w:val="00F51B71"/>
    <w:rsid w:val="00F54526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A46AF"/>
    <w:rsid w:val="00FC22F7"/>
    <w:rsid w:val="00FC636D"/>
    <w:rsid w:val="00FC66D8"/>
    <w:rsid w:val="00FD1731"/>
    <w:rsid w:val="00FE11B0"/>
    <w:rsid w:val="00FE2909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docId w15:val="{26877CE7-4F54-4786-A2E1-022AB5D5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AF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6297B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E28E6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B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6B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34F"/>
    <w:rPr>
      <w:rFonts w:ascii="Courier New" w:hAnsi="Courier New" w:cs="Courier New"/>
    </w:rPr>
  </w:style>
  <w:style w:type="character" w:customStyle="1" w:styleId="feature">
    <w:name w:val="feature"/>
    <w:basedOn w:val="DefaultParagraphFont"/>
    <w:rsid w:val="0029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8545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2018-06-08T14:47:00Z</dcterms:created>
  <dcterms:modified xsi:type="dcterms:W3CDTF">2018-06-08T14:47:00Z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