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F62FA05" w:rsidR="006D1B4E" w:rsidRPr="009320C8" w:rsidRDefault="008B37BF" w:rsidP="008B37B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B37BF">
              <w:rPr>
                <w:rFonts w:ascii="Arial" w:hAnsi="Arial" w:cs="Arial"/>
                <w:b/>
                <w:i/>
                <w:sz w:val="36"/>
                <w:szCs w:val="36"/>
              </w:rPr>
              <w:t>2018.115B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06E3F49E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9F71CA" w:rsidRPr="009F71CA">
              <w:rPr>
                <w:rFonts w:ascii="Arial" w:hAnsi="Arial" w:cs="Arial"/>
                <w:b/>
                <w:i/>
              </w:rPr>
              <w:t>Fipvunavirus</w:t>
            </w:r>
            <w:r w:rsidR="009F71CA">
              <w:rPr>
                <w:rFonts w:ascii="Arial" w:hAnsi="Arial" w:cs="Arial"/>
                <w:b/>
              </w:rPr>
              <w:t xml:space="preserve">,  containing two species in the family </w:t>
            </w:r>
            <w:r w:rsidR="009F71CA" w:rsidRPr="009F71CA">
              <w:rPr>
                <w:rFonts w:ascii="Arial" w:hAnsi="Arial" w:cs="Arial"/>
                <w:b/>
                <w:i/>
              </w:rPr>
              <w:t>Podoviridae</w:t>
            </w:r>
            <w:r w:rsidR="009F71CA">
              <w:rPr>
                <w:rFonts w:ascii="Arial" w:hAnsi="Arial" w:cs="Arial"/>
                <w:b/>
              </w:rPr>
              <w:t>.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69697AFE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  <w:r w:rsidR="009F71CA">
              <w:rPr>
                <w:rFonts w:ascii="Arial" w:hAnsi="Arial" w:cs="Arial"/>
                <w:color w:val="000000"/>
              </w:rPr>
              <w:t>, Canada</w:t>
            </w:r>
          </w:p>
          <w:p w14:paraId="686831AD" w14:textId="77777777" w:rsidR="00636B14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  <w:r w:rsidR="009F71CA">
              <w:rPr>
                <w:rFonts w:ascii="Arial" w:hAnsi="Arial" w:cs="Arial"/>
                <w:color w:val="000000"/>
              </w:rPr>
              <w:t>, UK</w:t>
            </w:r>
          </w:p>
          <w:p w14:paraId="43046FB6" w14:textId="2C943B0C" w:rsidR="00AD3181" w:rsidRPr="009320C8" w:rsidRDefault="00FD70DC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FD70DC">
              <w:rPr>
                <w:rFonts w:ascii="Arial" w:hAnsi="Arial" w:cs="Arial"/>
                <w:color w:val="000000"/>
              </w:rPr>
              <w:t>Daniel Elías Castillo Bermúdez</w:t>
            </w:r>
            <w:r w:rsidR="00AD3181" w:rsidRPr="00AD3181">
              <w:rPr>
                <w:rFonts w:ascii="Arial" w:hAnsi="Arial" w:cs="Arial"/>
                <w:color w:val="000000"/>
              </w:rPr>
              <w:t>, University of Copenhagen, Denmark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71F5834" w:rsidR="00422FF0" w:rsidRPr="009320C8" w:rsidRDefault="008B37B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0C678BB8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9F71C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37BF" w:rsidRPr="008B37BF">
              <w:rPr>
                <w:rFonts w:ascii="Arial" w:hAnsi="Arial" w:cs="Arial"/>
                <w:b/>
                <w:sz w:val="22"/>
                <w:szCs w:val="22"/>
              </w:rPr>
              <w:t>2018.115B.N.v1.Fipvunavirus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7AAE869D" w:rsidR="00384F60" w:rsidRPr="009F71CA" w:rsidRDefault="00384F60" w:rsidP="00384F60">
      <w:pPr>
        <w:rPr>
          <w:rFonts w:ascii="Arial" w:hAnsi="Arial" w:cs="Arial"/>
          <w:b/>
          <w:sz w:val="22"/>
          <w:szCs w:val="22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9F71CA" w:rsidRPr="009F71CA">
        <w:rPr>
          <w:rFonts w:ascii="Arial" w:hAnsi="Arial" w:cs="Arial"/>
          <w:sz w:val="22"/>
          <w:szCs w:val="22"/>
          <w:lang w:val="en-GB"/>
        </w:rPr>
        <w:t>The name is directly derived from that of the first isolate</w:t>
      </w:r>
      <w:r w:rsidR="009F71CA" w:rsidRPr="009F71C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F71CA" w:rsidRPr="009F71CA">
        <w:rPr>
          <w:rStyle w:val="genometitle"/>
          <w:rFonts w:ascii="Arial" w:hAnsi="Arial" w:cs="Arial"/>
          <w:sz w:val="22"/>
          <w:szCs w:val="22"/>
        </w:rPr>
        <w:t>Flavobacterium phage Fpv1</w:t>
      </w:r>
    </w:p>
    <w:p w14:paraId="186CAF47" w14:textId="77777777" w:rsidR="006C4A0C" w:rsidRDefault="006C4A0C" w:rsidP="00AC0E72">
      <w:pPr>
        <w:rPr>
          <w:lang w:val="en-GB"/>
        </w:rPr>
      </w:pPr>
    </w:p>
    <w:p w14:paraId="6F24887E" w14:textId="23AA96C4" w:rsidR="009F71CA" w:rsidRPr="009F71CA" w:rsidRDefault="009A6F42" w:rsidP="009F71CA">
      <w:pPr>
        <w:pStyle w:val="HTMLPreformatted"/>
        <w:rPr>
          <w:rFonts w:ascii="Arial" w:hAnsi="Arial" w:cs="Arial"/>
          <w:sz w:val="22"/>
          <w:szCs w:val="22"/>
          <w:lang w:val="en-CA" w:eastAsia="en-CA"/>
        </w:rPr>
      </w:pPr>
      <w:r w:rsidRPr="00805C88">
        <w:rPr>
          <w:rFonts w:ascii="Arial" w:hAnsi="Arial" w:cs="Arial"/>
          <w:b/>
          <w:color w:val="0000FF"/>
          <w:lang w:val="en-GB"/>
        </w:rPr>
        <w:t>History:</w:t>
      </w:r>
      <w:r w:rsidR="009F71CA">
        <w:rPr>
          <w:rFonts w:ascii="Arial" w:hAnsi="Arial" w:cs="Arial"/>
          <w:b/>
          <w:color w:val="0000FF"/>
          <w:lang w:val="en-GB"/>
        </w:rPr>
        <w:t xml:space="preserve">  </w:t>
      </w:r>
      <w:r w:rsidR="009F71CA" w:rsidRPr="009F71CA">
        <w:rPr>
          <w:rFonts w:ascii="Arial" w:hAnsi="Arial" w:cs="Arial"/>
          <w:sz w:val="22"/>
          <w:szCs w:val="22"/>
          <w:lang w:val="en-GB"/>
        </w:rPr>
        <w:t xml:space="preserve">This group of 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>Flavobacterium psychrophilum 950106-1/1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 phages was isolated by D. 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>Castillo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 xml:space="preserve">and 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M. 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>Middelboe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 (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>Marine Biological Section, University of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="009F71CA" w:rsidRPr="009F71CA">
        <w:rPr>
          <w:rFonts w:ascii="Arial" w:hAnsi="Arial" w:cs="Arial"/>
          <w:sz w:val="22"/>
          <w:szCs w:val="22"/>
          <w:lang w:val="en-CA" w:eastAsia="en-CA"/>
        </w:rPr>
        <w:t>Copenhagen,</w:t>
      </w:r>
      <w:r w:rsidR="009F71CA">
        <w:rPr>
          <w:rFonts w:ascii="Arial" w:hAnsi="Arial" w:cs="Arial"/>
          <w:sz w:val="22"/>
          <w:szCs w:val="22"/>
          <w:lang w:val="en-CA" w:eastAsia="en-CA"/>
        </w:rPr>
        <w:t xml:space="preserve"> Denmark).  </w:t>
      </w:r>
      <w:bookmarkStart w:id="5" w:name="_Hlk515017171"/>
      <w:r w:rsidR="002E07BC" w:rsidRPr="002E07BC">
        <w:rPr>
          <w:rFonts w:ascii="Arial" w:hAnsi="Arial" w:cs="Arial"/>
          <w:sz w:val="22"/>
          <w:szCs w:val="22"/>
          <w:lang w:val="en-CA" w:eastAsia="en-CA"/>
        </w:rPr>
        <w:t>Fpv1,-2, -21 were isolated in 2005 from different fish farms</w:t>
      </w:r>
      <w:r w:rsidR="002E07BC">
        <w:rPr>
          <w:rFonts w:ascii="Arial" w:hAnsi="Arial" w:cs="Arial"/>
          <w:sz w:val="22"/>
          <w:szCs w:val="22"/>
          <w:lang w:val="en-CA" w:eastAsia="en-CA"/>
        </w:rPr>
        <w:t>.</w:t>
      </w:r>
      <w:r w:rsidR="002E07BC" w:rsidRPr="002E07BC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="00411405">
        <w:rPr>
          <w:rFonts w:ascii="Arial" w:hAnsi="Arial" w:cs="Arial"/>
          <w:sz w:val="22"/>
          <w:szCs w:val="22"/>
          <w:lang w:val="en-CA" w:eastAsia="en-CA"/>
        </w:rPr>
        <w:t xml:space="preserve">Unfortunately, most of the gene products are defined as “hypothetical proteins”, but we managed to identify the major capsid protein and the large subunit terminase proteins using HHpred.  </w:t>
      </w:r>
      <w:bookmarkEnd w:id="5"/>
      <w:r w:rsidR="00411405">
        <w:rPr>
          <w:rFonts w:ascii="Arial" w:hAnsi="Arial" w:cs="Arial"/>
          <w:sz w:val="22"/>
          <w:szCs w:val="22"/>
          <w:lang w:val="en-CA" w:eastAsia="en-CA"/>
        </w:rPr>
        <w:t>One of the unique properties of these phages is that they encode extremely large structural protein</w:t>
      </w:r>
      <w:r w:rsidR="00BE5DF3">
        <w:rPr>
          <w:rFonts w:ascii="Arial" w:hAnsi="Arial" w:cs="Arial"/>
          <w:sz w:val="22"/>
          <w:szCs w:val="22"/>
          <w:lang w:val="en-CA" w:eastAsia="en-CA"/>
        </w:rPr>
        <w:t>s</w:t>
      </w:r>
      <w:r w:rsidR="00411405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="00BE5DF3">
        <w:rPr>
          <w:rFonts w:ascii="Arial" w:hAnsi="Arial" w:cs="Arial"/>
          <w:sz w:val="22"/>
          <w:szCs w:val="22"/>
          <w:lang w:val="en-CA" w:eastAsia="en-CA"/>
        </w:rPr>
        <w:t xml:space="preserve">one of which is </w:t>
      </w:r>
      <w:r w:rsidR="00411405">
        <w:rPr>
          <w:rFonts w:ascii="Arial" w:hAnsi="Arial" w:cs="Arial"/>
          <w:sz w:val="22"/>
          <w:szCs w:val="22"/>
          <w:lang w:val="en-CA" w:eastAsia="en-CA"/>
        </w:rPr>
        <w:t xml:space="preserve">4401 amino acid residues </w:t>
      </w:r>
      <w:r w:rsidR="00BE5DF3">
        <w:rPr>
          <w:rFonts w:ascii="Arial" w:hAnsi="Arial" w:cs="Arial"/>
          <w:sz w:val="22"/>
          <w:szCs w:val="22"/>
          <w:lang w:val="en-CA" w:eastAsia="en-CA"/>
        </w:rPr>
        <w:t>(</w:t>
      </w:r>
      <w:r w:rsidR="00411405">
        <w:rPr>
          <w:rFonts w:ascii="Arial" w:hAnsi="Arial" w:cs="Arial"/>
          <w:sz w:val="22"/>
          <w:szCs w:val="22"/>
          <w:lang w:val="en-CA" w:eastAsia="en-CA"/>
        </w:rPr>
        <w:t>Fpv1).</w:t>
      </w:r>
    </w:p>
    <w:p w14:paraId="1C8CF7FC" w14:textId="27B52FD0" w:rsidR="006C4A0C" w:rsidRPr="009F71CA" w:rsidRDefault="006C4A0C" w:rsidP="00AC0E72">
      <w:pPr>
        <w:rPr>
          <w:rFonts w:ascii="Arial" w:hAnsi="Arial" w:cs="Arial"/>
          <w:color w:val="0000FF"/>
          <w:sz w:val="22"/>
          <w:szCs w:val="22"/>
          <w:lang w:val="en-GB"/>
        </w:rPr>
      </w:pP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02"/>
        <w:gridCol w:w="1395"/>
        <w:gridCol w:w="855"/>
        <w:gridCol w:w="817"/>
        <w:gridCol w:w="919"/>
        <w:gridCol w:w="818"/>
        <w:gridCol w:w="1084"/>
        <w:gridCol w:w="983"/>
      </w:tblGrid>
      <w:tr w:rsidR="003950A5" w:rsidRPr="008E7E3B" w14:paraId="74EE6D34" w14:textId="4FDD8313" w:rsidTr="003950A5">
        <w:tc>
          <w:tcPr>
            <w:tcW w:w="1078" w:type="dxa"/>
          </w:tcPr>
          <w:p w14:paraId="61BA04C0" w14:textId="7777777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502" w:type="dxa"/>
          </w:tcPr>
          <w:p w14:paraId="52281726" w14:textId="775D67D0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395" w:type="dxa"/>
          </w:tcPr>
          <w:p w14:paraId="385514DD" w14:textId="61F6BFC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855" w:type="dxa"/>
          </w:tcPr>
          <w:p w14:paraId="330E3754" w14:textId="7777777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817" w:type="dxa"/>
          </w:tcPr>
          <w:p w14:paraId="436D7193" w14:textId="7777777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919" w:type="dxa"/>
          </w:tcPr>
          <w:p w14:paraId="58AAE8FF" w14:textId="7777777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818" w:type="dxa"/>
          </w:tcPr>
          <w:p w14:paraId="2FB95B40" w14:textId="77777777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84" w:type="dxa"/>
          </w:tcPr>
          <w:p w14:paraId="7FFA4B89" w14:textId="7E2A70E5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% overall DNA sequence identity (*)</w:t>
            </w:r>
          </w:p>
        </w:tc>
        <w:tc>
          <w:tcPr>
            <w:tcW w:w="983" w:type="dxa"/>
          </w:tcPr>
          <w:p w14:paraId="4030CC97" w14:textId="225699FE" w:rsidR="003950A5" w:rsidRPr="008E7E3B" w:rsidRDefault="003950A5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% common proteins (**)</w:t>
            </w:r>
          </w:p>
        </w:tc>
      </w:tr>
      <w:tr w:rsidR="003950A5" w:rsidRPr="008E7E3B" w14:paraId="7986ECD9" w14:textId="2B25A695" w:rsidTr="003950A5">
        <w:tc>
          <w:tcPr>
            <w:tcW w:w="1078" w:type="dxa"/>
          </w:tcPr>
          <w:p w14:paraId="79E0649D" w14:textId="4CF1773E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Fpv1</w:t>
            </w:r>
          </w:p>
        </w:tc>
        <w:tc>
          <w:tcPr>
            <w:tcW w:w="1502" w:type="dxa"/>
            <w:vAlign w:val="center"/>
          </w:tcPr>
          <w:p w14:paraId="7640CADE" w14:textId="18CA2D3C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50A5">
              <w:t>NC_031914</w:t>
            </w:r>
          </w:p>
        </w:tc>
        <w:tc>
          <w:tcPr>
            <w:tcW w:w="1395" w:type="dxa"/>
            <w:vAlign w:val="center"/>
          </w:tcPr>
          <w:p w14:paraId="3080DDA3" w14:textId="1A0E3B5C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50A5">
              <w:t>KU599877</w:t>
            </w:r>
          </w:p>
        </w:tc>
        <w:tc>
          <w:tcPr>
            <w:tcW w:w="855" w:type="dxa"/>
            <w:vAlign w:val="center"/>
          </w:tcPr>
          <w:p w14:paraId="5AC380C4" w14:textId="01C6023F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88.99</w:t>
            </w:r>
          </w:p>
        </w:tc>
        <w:tc>
          <w:tcPr>
            <w:tcW w:w="817" w:type="dxa"/>
            <w:vAlign w:val="center"/>
          </w:tcPr>
          <w:p w14:paraId="192FD525" w14:textId="2450D560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27.0</w:t>
            </w:r>
          </w:p>
        </w:tc>
        <w:tc>
          <w:tcPr>
            <w:tcW w:w="919" w:type="dxa"/>
            <w:vAlign w:val="center"/>
          </w:tcPr>
          <w:p w14:paraId="5B109C2B" w14:textId="4C1676FA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80</w:t>
            </w:r>
          </w:p>
        </w:tc>
        <w:tc>
          <w:tcPr>
            <w:tcW w:w="818" w:type="dxa"/>
          </w:tcPr>
          <w:p w14:paraId="27441283" w14:textId="08EC32E4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84" w:type="dxa"/>
          </w:tcPr>
          <w:p w14:paraId="5E7460EB" w14:textId="68665AF2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983" w:type="dxa"/>
          </w:tcPr>
          <w:p w14:paraId="31B6F974" w14:textId="04AD56EB" w:rsidR="003950A5" w:rsidRPr="008E7E3B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3950A5" w:rsidRPr="008E7E3B" w14:paraId="6BA4B48C" w14:textId="77777777" w:rsidTr="003950A5">
        <w:tc>
          <w:tcPr>
            <w:tcW w:w="1078" w:type="dxa"/>
          </w:tcPr>
          <w:p w14:paraId="718E5150" w14:textId="56C47EEA" w:rsidR="003950A5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FpV4</w:t>
            </w:r>
          </w:p>
        </w:tc>
        <w:tc>
          <w:tcPr>
            <w:tcW w:w="1502" w:type="dxa"/>
            <w:vAlign w:val="center"/>
          </w:tcPr>
          <w:p w14:paraId="7BD26085" w14:textId="77777777" w:rsidR="003950A5" w:rsidRPr="003950A5" w:rsidRDefault="003950A5" w:rsidP="003950A5"/>
        </w:tc>
        <w:tc>
          <w:tcPr>
            <w:tcW w:w="1395" w:type="dxa"/>
            <w:vAlign w:val="center"/>
          </w:tcPr>
          <w:p w14:paraId="50CDD543" w14:textId="5FC16885" w:rsidR="003950A5" w:rsidRPr="003950A5" w:rsidRDefault="003950A5" w:rsidP="003950A5">
            <w:r w:rsidRPr="003950A5">
              <w:t>KT876724</w:t>
            </w:r>
          </w:p>
        </w:tc>
        <w:tc>
          <w:tcPr>
            <w:tcW w:w="855" w:type="dxa"/>
            <w:vAlign w:val="center"/>
          </w:tcPr>
          <w:p w14:paraId="037B4A6E" w14:textId="446E5718" w:rsidR="003950A5" w:rsidRDefault="003950A5" w:rsidP="003950A5">
            <w:r>
              <w:t>88.31</w:t>
            </w:r>
          </w:p>
        </w:tc>
        <w:tc>
          <w:tcPr>
            <w:tcW w:w="817" w:type="dxa"/>
            <w:vAlign w:val="center"/>
          </w:tcPr>
          <w:p w14:paraId="2BE2FE55" w14:textId="58101EA4" w:rsidR="003950A5" w:rsidRDefault="003950A5" w:rsidP="003950A5">
            <w:r>
              <w:t>27.2</w:t>
            </w:r>
          </w:p>
        </w:tc>
        <w:tc>
          <w:tcPr>
            <w:tcW w:w="919" w:type="dxa"/>
            <w:vAlign w:val="center"/>
          </w:tcPr>
          <w:p w14:paraId="3E43C856" w14:textId="7D745B22" w:rsidR="003950A5" w:rsidRDefault="003950A5" w:rsidP="003950A5">
            <w:r>
              <w:t>75</w:t>
            </w:r>
          </w:p>
        </w:tc>
        <w:tc>
          <w:tcPr>
            <w:tcW w:w="818" w:type="dxa"/>
          </w:tcPr>
          <w:p w14:paraId="496973B1" w14:textId="73D91438" w:rsidR="003950A5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84" w:type="dxa"/>
          </w:tcPr>
          <w:p w14:paraId="6D882F14" w14:textId="650EB789" w:rsidR="003950A5" w:rsidRDefault="003950A5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</w:p>
        </w:tc>
        <w:tc>
          <w:tcPr>
            <w:tcW w:w="983" w:type="dxa"/>
          </w:tcPr>
          <w:p w14:paraId="1C83140B" w14:textId="091AF0FC" w:rsidR="003950A5" w:rsidRDefault="00B148E2" w:rsidP="003950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90.0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366542F7" w:rsidR="00C74088" w:rsidRPr="00223549" w:rsidRDefault="003950A5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223549">
        <w:rPr>
          <w:rFonts w:ascii="Arial" w:hAnsi="Arial" w:cs="Arial"/>
          <w:b/>
          <w:sz w:val="20"/>
          <w:szCs w:val="20"/>
          <w:lang w:val="en-GB"/>
        </w:rPr>
        <w:t>(*) determined using BLASTN at NCBI; (**) determined using CoreGenes 3.5</w:t>
      </w:r>
    </w:p>
    <w:p w14:paraId="65C6DB8A" w14:textId="57E45202" w:rsidR="003950A5" w:rsidRDefault="003950A5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223549">
        <w:rPr>
          <w:rFonts w:ascii="Arial" w:hAnsi="Arial" w:cs="Arial"/>
          <w:b/>
          <w:sz w:val="20"/>
          <w:szCs w:val="20"/>
          <w:lang w:val="en-GB"/>
        </w:rPr>
        <w:t xml:space="preserve">N.B. </w:t>
      </w:r>
      <w:r w:rsidR="00223549" w:rsidRPr="00223549">
        <w:rPr>
          <w:rFonts w:ascii="Arial" w:hAnsi="Arial" w:cs="Arial"/>
          <w:b/>
          <w:sz w:val="20"/>
          <w:szCs w:val="20"/>
          <w:lang w:val="en-GB"/>
        </w:rPr>
        <w:t xml:space="preserve">Flavobacterium phage Fpv2, </w:t>
      </w:r>
      <w:bookmarkStart w:id="6" w:name="_Hlk515001333"/>
      <w:r w:rsidR="00223549" w:rsidRPr="00223549">
        <w:rPr>
          <w:rFonts w:ascii="Arial" w:hAnsi="Arial" w:cs="Arial"/>
          <w:b/>
          <w:sz w:val="20"/>
          <w:szCs w:val="20"/>
          <w:lang w:val="en-GB"/>
        </w:rPr>
        <w:t xml:space="preserve">Flavobacterium phage Fpv20, </w:t>
      </w:r>
      <w:bookmarkEnd w:id="6"/>
      <w:r w:rsidR="00437081" w:rsidRPr="00223549">
        <w:rPr>
          <w:rFonts w:ascii="Arial" w:hAnsi="Arial" w:cs="Arial"/>
          <w:b/>
          <w:sz w:val="20"/>
          <w:szCs w:val="20"/>
          <w:lang w:val="en-GB"/>
        </w:rPr>
        <w:t>Flavobacterium phage Fp</w:t>
      </w:r>
      <w:r w:rsidR="00437081">
        <w:rPr>
          <w:rFonts w:ascii="Arial" w:hAnsi="Arial" w:cs="Arial"/>
          <w:b/>
          <w:sz w:val="20"/>
          <w:szCs w:val="20"/>
          <w:lang w:val="en-GB"/>
        </w:rPr>
        <w:t>V</w:t>
      </w:r>
      <w:r w:rsidR="00437081" w:rsidRPr="00223549">
        <w:rPr>
          <w:rFonts w:ascii="Arial" w:hAnsi="Arial" w:cs="Arial"/>
          <w:b/>
          <w:sz w:val="20"/>
          <w:szCs w:val="20"/>
          <w:lang w:val="en-GB"/>
        </w:rPr>
        <w:t>2</w:t>
      </w:r>
      <w:r w:rsidR="00437081">
        <w:rPr>
          <w:rFonts w:ascii="Arial" w:hAnsi="Arial" w:cs="Arial"/>
          <w:b/>
          <w:sz w:val="20"/>
          <w:szCs w:val="20"/>
          <w:lang w:val="en-GB"/>
        </w:rPr>
        <w:t>1</w:t>
      </w:r>
      <w:r w:rsidR="00437081" w:rsidRPr="00223549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="00223549" w:rsidRPr="00223549">
        <w:rPr>
          <w:rFonts w:ascii="Arial" w:hAnsi="Arial" w:cs="Arial"/>
          <w:b/>
          <w:sz w:val="20"/>
          <w:szCs w:val="20"/>
          <w:lang w:val="en-GB"/>
        </w:rPr>
        <w:t>and Flavobacterium phage Fpv3 should be consider strains within this genus.</w:t>
      </w:r>
    </w:p>
    <w:p w14:paraId="6D2B0997" w14:textId="77777777" w:rsidR="00CC2551" w:rsidRPr="00223549" w:rsidRDefault="00CC2551" w:rsidP="00AC0E72">
      <w:pPr>
        <w:rPr>
          <w:rFonts w:ascii="Arial" w:hAnsi="Arial" w:cs="Arial"/>
          <w:b/>
          <w:sz w:val="20"/>
          <w:szCs w:val="20"/>
          <w:lang w:val="en-GB"/>
        </w:rPr>
      </w:pPr>
    </w:p>
    <w:p w14:paraId="6AE5E306" w14:textId="2806D8BE" w:rsidR="00C74088" w:rsidRPr="00223549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223549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223549">
        <w:rPr>
          <w:rFonts w:ascii="Arial" w:hAnsi="Arial" w:cs="Arial"/>
          <w:sz w:val="20"/>
          <w:szCs w:val="20"/>
          <w:lang w:val="en-GB"/>
        </w:rPr>
        <w:t>see above.  Unrelated to any other group of phages.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127AEAE" w14:textId="44F44836" w:rsidR="00223549" w:rsidRPr="00805C88" w:rsidRDefault="00C74088" w:rsidP="00223549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3950A5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bookmarkStart w:id="7" w:name="_Hlk515008610"/>
      <w:r w:rsidR="00223549">
        <w:rPr>
          <w:rFonts w:ascii="Arial" w:hAnsi="Arial" w:cs="Arial"/>
          <w:sz w:val="20"/>
          <w:szCs w:val="20"/>
          <w:lang w:val="en-GB"/>
        </w:rPr>
        <w:t>The phylogenetic tree was constructed, using phylogeny.fr, using the large subunit terminase protein of phage Fpv1 and its homologs.</w:t>
      </w:r>
      <w:bookmarkEnd w:id="7"/>
    </w:p>
    <w:p w14:paraId="723934D4" w14:textId="7D8A7DB0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</w:p>
    <w:p w14:paraId="67123312" w14:textId="621BEAA9" w:rsidR="00AC0E72" w:rsidRDefault="00437081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4A5B" wp14:editId="0155FB63">
                <wp:simplePos x="0" y="0"/>
                <wp:positionH relativeFrom="column">
                  <wp:posOffset>2278380</wp:posOffset>
                </wp:positionH>
                <wp:positionV relativeFrom="paragraph">
                  <wp:posOffset>930910</wp:posOffset>
                </wp:positionV>
                <wp:extent cx="3360420" cy="1295400"/>
                <wp:effectExtent l="19050" t="1905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295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B0637" id="Rectangle 2" o:spid="_x0000_s1026" style="position:absolute;margin-left:179.4pt;margin-top:73.3pt;width:264.6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" filled="f" strokecolor="red" strokeweight="2.25pt"/>
            </w:pict>
          </mc:Fallback>
        </mc:AlternateContent>
      </w:r>
      <w:r w:rsidR="00223549">
        <w:rPr>
          <w:noProof/>
          <w:lang w:val="en-GB" w:eastAsia="en-GB"/>
        </w:rPr>
        <w:drawing>
          <wp:inline distT="0" distB="0" distL="0" distR="0" wp14:anchorId="1C85F55D" wp14:editId="3C4B9F5C">
            <wp:extent cx="6007735" cy="247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L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4CFF" w14:textId="0B6E3296" w:rsidR="00AA601F" w:rsidRDefault="00223549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9564" w14:textId="77777777" w:rsidR="00F00577" w:rsidRDefault="00F00577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7225667" w14:textId="77777777" w:rsidR="00F00577" w:rsidRDefault="00F00577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B37BF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B37BF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820E3" w14:textId="77777777" w:rsidR="00F00577" w:rsidRDefault="00F00577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05CA1228" w14:textId="77777777" w:rsidR="00F00577" w:rsidRDefault="00F00577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312D0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3549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07BC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950A5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1405"/>
    <w:rsid w:val="00413670"/>
    <w:rsid w:val="004152C9"/>
    <w:rsid w:val="00422FF0"/>
    <w:rsid w:val="00437081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C4AD9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37BF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034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9F71CA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02EC"/>
    <w:rsid w:val="00AA1E2F"/>
    <w:rsid w:val="00AA308A"/>
    <w:rsid w:val="00AA3213"/>
    <w:rsid w:val="00AA3952"/>
    <w:rsid w:val="00AA601F"/>
    <w:rsid w:val="00AC0E72"/>
    <w:rsid w:val="00AD11F4"/>
    <w:rsid w:val="00AD3181"/>
    <w:rsid w:val="00AD3814"/>
    <w:rsid w:val="00AE2858"/>
    <w:rsid w:val="00AF63CD"/>
    <w:rsid w:val="00AF65C7"/>
    <w:rsid w:val="00B04CD6"/>
    <w:rsid w:val="00B12A01"/>
    <w:rsid w:val="00B12D76"/>
    <w:rsid w:val="00B148E2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E5DF3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5601C"/>
    <w:rsid w:val="00C64F92"/>
    <w:rsid w:val="00C67A98"/>
    <w:rsid w:val="00C73B2F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C2551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070C3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C738F"/>
    <w:rsid w:val="00EF6615"/>
    <w:rsid w:val="00EF7D67"/>
    <w:rsid w:val="00F0057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D70DC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ometitle">
    <w:name w:val="genometitle"/>
    <w:basedOn w:val="DefaultParagraphFont"/>
    <w:rsid w:val="009F71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1C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1CA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5100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2018-06-08T18:06:00Z</dcterms:created>
  <dcterms:modified xsi:type="dcterms:W3CDTF">2018-06-08T18:06:00Z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