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01F" w:rsidRDefault="00BA66BE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noProof/>
          <w:color w:val="0000FF"/>
          <w:szCs w:val="20"/>
          <w:lang w:bidi="fa-I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:rsidR="008F2BEE" w:rsidRDefault="008A612E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, AUTHORS, etc</w:t>
      </w:r>
    </w:p>
    <w:p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4E" w:rsidRPr="009320C8" w:rsidRDefault="00CC718D" w:rsidP="00CC718D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CC718D">
              <w:rPr>
                <w:rFonts w:ascii="Arial" w:hAnsi="Arial" w:cs="Arial"/>
                <w:b/>
                <w:i/>
                <w:sz w:val="36"/>
                <w:szCs w:val="36"/>
              </w:rPr>
              <w:t>2018.119B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CF0A9B" w:rsidRPr="00781450" w:rsidRDefault="006D1B4E" w:rsidP="00CF0A9B">
            <w:pPr>
              <w:spacing w:before="120"/>
              <w:rPr>
                <w:rFonts w:ascii="Arial" w:hAnsi="Arial" w:cs="Arial"/>
                <w:color w:val="0000FF"/>
                <w:sz w:val="20"/>
              </w:rPr>
            </w:pPr>
            <w:r w:rsidRPr="00781450">
              <w:rPr>
                <w:rFonts w:ascii="Arial" w:hAnsi="Arial" w:cs="Arial"/>
                <w:b/>
              </w:rPr>
              <w:t>Short title:</w:t>
            </w:r>
            <w:r w:rsidR="00422995" w:rsidRPr="00781450">
              <w:rPr>
                <w:rFonts w:ascii="Arial" w:hAnsi="Arial" w:cs="Arial"/>
                <w:sz w:val="20"/>
              </w:rPr>
              <w:t xml:space="preserve"> To create one</w:t>
            </w:r>
            <w:r w:rsidR="00A463A1" w:rsidRPr="00781450">
              <w:rPr>
                <w:rFonts w:ascii="Arial" w:hAnsi="Arial" w:cs="Arial"/>
                <w:sz w:val="20"/>
              </w:rPr>
              <w:t xml:space="preserve"> (1)</w:t>
            </w:r>
            <w:r w:rsidR="00422995" w:rsidRPr="00781450">
              <w:rPr>
                <w:rFonts w:ascii="Arial" w:hAnsi="Arial" w:cs="Arial"/>
                <w:sz w:val="20"/>
              </w:rPr>
              <w:t xml:space="preserve"> new genus, </w:t>
            </w:r>
            <w:proofErr w:type="spellStart"/>
            <w:r w:rsidR="00722585" w:rsidRPr="00781450">
              <w:rPr>
                <w:rFonts w:ascii="Arial" w:hAnsi="Arial" w:cs="Arial"/>
                <w:i/>
                <w:iCs/>
                <w:sz w:val="20"/>
              </w:rPr>
              <w:t>Gorgan</w:t>
            </w:r>
            <w:r w:rsidR="00422995" w:rsidRPr="00781450">
              <w:rPr>
                <w:rFonts w:ascii="Arial" w:hAnsi="Arial" w:cs="Arial"/>
                <w:i/>
                <w:iCs/>
                <w:sz w:val="20"/>
              </w:rPr>
              <w:t>virus</w:t>
            </w:r>
            <w:proofErr w:type="spellEnd"/>
            <w:r w:rsidR="00422995" w:rsidRPr="00781450">
              <w:rPr>
                <w:rFonts w:ascii="Arial" w:hAnsi="Arial" w:cs="Arial"/>
                <w:sz w:val="20"/>
              </w:rPr>
              <w:t>, including one</w:t>
            </w:r>
            <w:r w:rsidR="00A463A1" w:rsidRPr="00781450">
              <w:rPr>
                <w:rFonts w:ascii="Arial" w:hAnsi="Arial" w:cs="Arial"/>
                <w:sz w:val="20"/>
              </w:rPr>
              <w:t xml:space="preserve"> (1)</w:t>
            </w:r>
            <w:r w:rsidR="00422995" w:rsidRPr="00781450">
              <w:rPr>
                <w:rFonts w:ascii="Arial" w:hAnsi="Arial" w:cs="Arial"/>
                <w:sz w:val="20"/>
              </w:rPr>
              <w:t xml:space="preserve"> type species within the family </w:t>
            </w:r>
            <w:r w:rsidR="00422995" w:rsidRPr="00781450">
              <w:rPr>
                <w:rFonts w:ascii="Arial" w:hAnsi="Arial" w:cs="Arial"/>
                <w:i/>
                <w:iCs/>
                <w:sz w:val="20"/>
              </w:rPr>
              <w:t>Siphoviridae</w:t>
            </w:r>
            <w:r w:rsidR="00422995" w:rsidRPr="00781450">
              <w:rPr>
                <w:rFonts w:ascii="Arial" w:hAnsi="Arial" w:cs="Arial"/>
                <w:sz w:val="20"/>
              </w:rPr>
              <w:t>.</w:t>
            </w:r>
            <w:r w:rsidR="00AA3952" w:rsidRPr="00781450">
              <w:rPr>
                <w:rFonts w:ascii="Arial" w:hAnsi="Arial" w:cs="Arial"/>
                <w:b/>
              </w:rPr>
              <w:t xml:space="preserve"> </w:t>
            </w:r>
            <w:r w:rsidR="00D70DF3" w:rsidRPr="00781450">
              <w:rPr>
                <w:rFonts w:ascii="Arial" w:hAnsi="Arial" w:cs="Arial"/>
                <w:color w:val="0000FF"/>
                <w:sz w:val="20"/>
              </w:rPr>
              <w:t xml:space="preserve">(e.g. </w:t>
            </w:r>
            <w:r w:rsidR="00CF0A9B" w:rsidRPr="00781450">
              <w:rPr>
                <w:rFonts w:ascii="Arial" w:hAnsi="Arial" w:cs="Arial"/>
                <w:color w:val="0000FF"/>
                <w:sz w:val="20"/>
              </w:rPr>
              <w:t>“</w:t>
            </w:r>
            <w:r w:rsidR="00D70DF3" w:rsidRPr="00781450">
              <w:rPr>
                <w:rFonts w:ascii="Arial" w:hAnsi="Arial" w:cs="Arial"/>
                <w:color w:val="0000FF"/>
                <w:sz w:val="20"/>
              </w:rPr>
              <w:t xml:space="preserve">6 new species in the genus </w:t>
            </w:r>
            <w:proofErr w:type="spellStart"/>
            <w:r w:rsidR="00D70DF3" w:rsidRPr="00781450">
              <w:rPr>
                <w:rFonts w:ascii="Arial" w:hAnsi="Arial" w:cs="Arial"/>
                <w:i/>
                <w:color w:val="0000FF"/>
                <w:sz w:val="20"/>
              </w:rPr>
              <w:t>Zetavirus</w:t>
            </w:r>
            <w:proofErr w:type="spellEnd"/>
            <w:r w:rsidR="00CF0A9B" w:rsidRPr="00781450">
              <w:rPr>
                <w:rFonts w:ascii="Arial" w:hAnsi="Arial" w:cs="Arial"/>
                <w:i/>
                <w:color w:val="0000FF"/>
                <w:sz w:val="20"/>
              </w:rPr>
              <w:t>”</w:t>
            </w:r>
            <w:r w:rsidR="00D70DF3" w:rsidRPr="00781450"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</w:tr>
      <w:tr w:rsidR="00CF0A9B" w:rsidRPr="001E492D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A9B" w:rsidRPr="00781450" w:rsidRDefault="00CF0A9B" w:rsidP="004B5D02">
            <w:pPr>
              <w:rPr>
                <w:b/>
              </w:rPr>
            </w:pPr>
            <w:r w:rsidRPr="00781450">
              <w:rPr>
                <w:b/>
              </w:rPr>
              <w:t xml:space="preserve">  </w:t>
            </w:r>
          </w:p>
        </w:tc>
      </w:tr>
      <w:tr w:rsidR="00636B14" w:rsidRPr="009320C8">
        <w:tc>
          <w:tcPr>
            <w:tcW w:w="9468" w:type="dxa"/>
            <w:gridSpan w:val="4"/>
          </w:tcPr>
          <w:p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9320C8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95" w:rsidRDefault="00422995" w:rsidP="00422995">
            <w:pPr>
              <w:pStyle w:val="BodyTextIndent"/>
              <w:spacing w:line="276" w:lineRule="auto"/>
              <w:ind w:left="0" w:firstLine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Mahsa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Yazdi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– University of Isfahan (Iran)</w:t>
            </w:r>
          </w:p>
          <w:p w:rsidR="00422995" w:rsidRDefault="00422995" w:rsidP="00422995">
            <w:pPr>
              <w:pStyle w:val="BodyTextIndent"/>
              <w:spacing w:line="276" w:lineRule="auto"/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Majid </w:t>
            </w:r>
            <w:proofErr w:type="spellStart"/>
            <w:r>
              <w:rPr>
                <w:rFonts w:ascii="Times New Roman" w:hAnsi="Times New Roman"/>
                <w:color w:val="000000"/>
              </w:rPr>
              <w:t>Bouzari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- University of Isfahan (Iran)</w:t>
            </w:r>
          </w:p>
          <w:p w:rsidR="00636B14" w:rsidRDefault="00422995" w:rsidP="00422995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Ezzat Allah </w:t>
            </w:r>
            <w:proofErr w:type="spellStart"/>
            <w:r>
              <w:rPr>
                <w:rFonts w:ascii="Times New Roman" w:hAnsi="Times New Roman"/>
                <w:color w:val="000000"/>
              </w:rPr>
              <w:t>Ghaemi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- </w:t>
            </w:r>
            <w:r w:rsidRPr="002F49FF">
              <w:rPr>
                <w:color w:val="000000"/>
                <w:szCs w:val="24"/>
              </w:rPr>
              <w:t>Golestan University of Medical Sciences</w:t>
            </w:r>
            <w:r w:rsidRPr="002F49FF">
              <w:rPr>
                <w:rFonts w:ascii="Times New Roman" w:hAnsi="Times New Roman"/>
                <w:color w:val="000000"/>
              </w:rPr>
              <w:t xml:space="preserve"> (Iran)</w:t>
            </w:r>
          </w:p>
          <w:p w:rsidR="00422995" w:rsidRDefault="00422995" w:rsidP="00422995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Evelien </w:t>
            </w:r>
            <w:proofErr w:type="spellStart"/>
            <w:r>
              <w:rPr>
                <w:rFonts w:ascii="Times New Roman" w:hAnsi="Times New Roman"/>
                <w:color w:val="000000"/>
              </w:rPr>
              <w:t>Adriaenssens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- University of Liverpool (UK)</w:t>
            </w:r>
          </w:p>
          <w:p w:rsidR="00422995" w:rsidRPr="009320C8" w:rsidRDefault="00422995" w:rsidP="00422995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Andrew Kropinski - University of Guelph (Canada)</w:t>
            </w:r>
          </w:p>
        </w:tc>
      </w:tr>
      <w:tr w:rsidR="00CE5ECF" w:rsidRPr="009320C8" w:rsidTr="003B1954">
        <w:tc>
          <w:tcPr>
            <w:tcW w:w="9468" w:type="dxa"/>
            <w:gridSpan w:val="4"/>
          </w:tcPr>
          <w:p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CE5ECF" w:rsidRPr="009320C8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CF" w:rsidRPr="009320C8" w:rsidRDefault="00422995" w:rsidP="003B195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CA6D15">
              <w:rPr>
                <w:rFonts w:ascii="Times New Roman" w:hAnsi="Times New Roman"/>
                <w:color w:val="000000"/>
              </w:rPr>
              <w:t xml:space="preserve">Majid </w:t>
            </w:r>
            <w:proofErr w:type="spellStart"/>
            <w:r w:rsidRPr="00CA6D15">
              <w:rPr>
                <w:rFonts w:ascii="Times New Roman" w:hAnsi="Times New Roman"/>
                <w:color w:val="000000"/>
              </w:rPr>
              <w:t>Bouzari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8" w:history="1">
              <w:r w:rsidRPr="003264DD">
                <w:rPr>
                  <w:rStyle w:val="Hyperlink"/>
                  <w:rFonts w:ascii="Times New Roman" w:hAnsi="Times New Roman"/>
                </w:rPr>
                <w:t>bouzari@sci.ui.ac.ir</w:t>
              </w:r>
            </w:hyperlink>
          </w:p>
        </w:tc>
      </w:tr>
      <w:tr w:rsidR="00D1634C" w:rsidRPr="009320C8">
        <w:tc>
          <w:tcPr>
            <w:tcW w:w="9468" w:type="dxa"/>
            <w:gridSpan w:val="4"/>
          </w:tcPr>
          <w:p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D1634C" w:rsidRPr="009320C8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4C" w:rsidRPr="009320C8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9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 w:rsidRPr="009320C8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, animal </w:t>
            </w:r>
            <w:proofErr w:type="spellStart"/>
            <w:r w:rsidR="00F95CC4" w:rsidRPr="009320C8">
              <w:rPr>
                <w:rFonts w:ascii="Arial" w:hAnsi="Arial" w:cs="Arial"/>
                <w:color w:val="0000FF"/>
                <w:sz w:val="20"/>
              </w:rPr>
              <w:t>ssRNA</w:t>
            </w:r>
            <w:proofErr w:type="spellEnd"/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-,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animal </w:t>
            </w:r>
            <w:proofErr w:type="spellStart"/>
            <w:r w:rsidR="00295698" w:rsidRPr="009320C8">
              <w:rPr>
                <w:rFonts w:ascii="Arial" w:hAnsi="Arial" w:cs="Arial"/>
                <w:color w:val="0000FF"/>
                <w:sz w:val="20"/>
              </w:rPr>
              <w:t>ssRNA</w:t>
            </w:r>
            <w:proofErr w:type="spellEnd"/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+, </w:t>
            </w:r>
            <w:r w:rsidRPr="009320C8"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 and protist,</w:t>
            </w:r>
            <w:r w:rsidRPr="009320C8"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4C" w:rsidRPr="009320C8" w:rsidRDefault="00422995" w:rsidP="00C15EC4">
            <w:pPr>
              <w:jc w:val="both"/>
              <w:rPr>
                <w:rFonts w:ascii="Arial" w:hAnsi="Arial" w:cs="Arial"/>
                <w:b/>
              </w:rPr>
            </w:pPr>
            <w:r w:rsidRPr="000C5D1A">
              <w:rPr>
                <w:b/>
              </w:rPr>
              <w:t>Bacterial and Archaeal Viruses Subcommittee</w:t>
            </w:r>
          </w:p>
        </w:tc>
      </w:tr>
      <w:tr w:rsidR="00AA3952" w:rsidRPr="009320C8">
        <w:trPr>
          <w:tblHeader/>
        </w:trPr>
        <w:tc>
          <w:tcPr>
            <w:tcW w:w="9468" w:type="dxa"/>
            <w:gridSpan w:val="4"/>
          </w:tcPr>
          <w:p w:rsidR="00AA3952" w:rsidRPr="009320C8" w:rsidRDefault="00AA3952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ICTV Study Group comments </w:t>
            </w:r>
            <w:r w:rsidR="00CE5ECF" w:rsidRPr="009320C8">
              <w:rPr>
                <w:rFonts w:ascii="Arial" w:hAnsi="Arial" w:cs="Arial"/>
                <w:b/>
              </w:rPr>
              <w:t xml:space="preserve">(if any) </w:t>
            </w:r>
            <w:r w:rsidRPr="009320C8">
              <w:rPr>
                <w:rFonts w:ascii="Arial" w:hAnsi="Arial" w:cs="Arial"/>
                <w:b/>
              </w:rPr>
              <w:t>and response of the proposer:</w:t>
            </w:r>
          </w:p>
        </w:tc>
      </w:tr>
      <w:tr w:rsidR="00AA3952" w:rsidRPr="009320C8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3952" w:rsidRPr="009320C8" w:rsidRDefault="00350B6E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="00D1634C"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="00D1634C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D1634C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D1634C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D1634C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D1634C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22FF0" w:rsidRPr="009320C8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:rsidTr="00C15EC4">
        <w:trPr>
          <w:trHeight w:val="270"/>
        </w:trPr>
        <w:tc>
          <w:tcPr>
            <w:tcW w:w="5786" w:type="dxa"/>
            <w:gridSpan w:val="3"/>
          </w:tcPr>
          <w:p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</w:tcPr>
          <w:p w:rsidR="00422FF0" w:rsidRPr="009320C8" w:rsidRDefault="00CC718D" w:rsidP="006F44A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June 2018</w:t>
            </w:r>
          </w:p>
        </w:tc>
      </w:tr>
      <w:tr w:rsidR="00422FF0" w:rsidRPr="009320C8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422FF0" w:rsidRPr="009320C8" w:rsidRDefault="00350B6E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22FF0"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="00422FF0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422FF0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422FF0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422FF0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422FF0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:rsidTr="003B1954">
        <w:tc>
          <w:tcPr>
            <w:tcW w:w="9468" w:type="dxa"/>
          </w:tcPr>
          <w:p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CF" w:rsidRPr="00C61931" w:rsidRDefault="00350B6E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5ECF" w:rsidRPr="00AA3952">
              <w:instrText xml:space="preserve"> FORMTEXT </w:instrText>
            </w:r>
            <w:r w:rsidRPr="00AA3952">
              <w:fldChar w:fldCharType="separate"/>
            </w:r>
            <w:r w:rsidR="00CE5ECF">
              <w:rPr>
                <w:noProof/>
              </w:rPr>
              <w:t> </w:t>
            </w:r>
            <w:r w:rsidR="00CE5ECF">
              <w:rPr>
                <w:noProof/>
              </w:rPr>
              <w:t> </w:t>
            </w:r>
            <w:r w:rsidR="00CE5ECF">
              <w:rPr>
                <w:noProof/>
              </w:rPr>
              <w:t> </w:t>
            </w:r>
            <w:r w:rsidR="00CE5ECF">
              <w:rPr>
                <w:noProof/>
              </w:rPr>
              <w:t> </w:t>
            </w:r>
            <w:r w:rsidR="00CE5ECF"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:rsidR="004D236F" w:rsidRDefault="004D236F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:rsidR="00991A82" w:rsidRDefault="00991A82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:rsidR="009F32F7" w:rsidRPr="009320C8" w:rsidRDefault="00841293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br w:type="page"/>
      </w:r>
      <w:r w:rsidR="006B2EE7" w:rsidRPr="004D236F">
        <w:rPr>
          <w:rFonts w:ascii="Arial" w:hAnsi="Arial" w:cs="Arial"/>
          <w:b/>
          <w:color w:val="000000"/>
          <w:szCs w:val="24"/>
        </w:rPr>
        <w:lastRenderedPageBreak/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:rsidTr="00BF75AF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F32F7" w:rsidRPr="009320C8" w:rsidRDefault="009F32F7" w:rsidP="00AB7B6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</w:t>
            </w:r>
            <w:r w:rsidRPr="0078145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422995" w:rsidRPr="0078145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C718D" w:rsidRPr="00781450">
              <w:rPr>
                <w:rFonts w:ascii="Arial" w:hAnsi="Arial" w:cs="Arial"/>
                <w:b/>
                <w:sz w:val="22"/>
                <w:szCs w:val="22"/>
              </w:rPr>
              <w:t>2018.119B.</w:t>
            </w:r>
            <w:r w:rsidR="00A463A1" w:rsidRPr="00781450">
              <w:rPr>
                <w:rFonts w:ascii="Arial" w:hAnsi="Arial" w:cs="Arial"/>
                <w:b/>
                <w:sz w:val="22"/>
                <w:szCs w:val="22"/>
              </w:rPr>
              <w:t>N.v2</w:t>
            </w:r>
            <w:r w:rsidR="00CC718D" w:rsidRPr="0078145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AB7B64" w:rsidRPr="00203D79">
              <w:rPr>
                <w:rFonts w:ascii="Arial" w:hAnsi="Arial" w:cs="Arial"/>
                <w:b/>
                <w:sz w:val="22"/>
                <w:szCs w:val="22"/>
              </w:rPr>
              <w:t>Gorganvirus</w:t>
            </w:r>
          </w:p>
        </w:tc>
      </w:tr>
    </w:tbl>
    <w:p w:rsidR="009F32F7" w:rsidRPr="00DC2ACB" w:rsidRDefault="009320C8" w:rsidP="00AA601F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T</w:t>
      </w:r>
      <w:r w:rsidR="009F32F7" w:rsidRPr="003B7125">
        <w:rPr>
          <w:rFonts w:ascii="Arial" w:hAnsi="Arial" w:cs="Arial"/>
          <w:color w:val="0000FF"/>
          <w:sz w:val="20"/>
        </w:rPr>
        <w:t xml:space="preserve">he taxonomic changes you are proposing </w:t>
      </w:r>
      <w:r>
        <w:rPr>
          <w:rFonts w:ascii="Arial" w:hAnsi="Arial" w:cs="Arial"/>
          <w:color w:val="0000FF"/>
          <w:sz w:val="20"/>
        </w:rPr>
        <w:t xml:space="preserve">should be presented </w:t>
      </w:r>
      <w:r w:rsidR="009F32F7" w:rsidRPr="003B7125">
        <w:rPr>
          <w:rFonts w:ascii="Arial" w:hAnsi="Arial" w:cs="Arial"/>
          <w:color w:val="0000FF"/>
          <w:sz w:val="20"/>
        </w:rPr>
        <w:t xml:space="preserve">on </w:t>
      </w:r>
      <w:r>
        <w:rPr>
          <w:rFonts w:ascii="Arial" w:hAnsi="Arial" w:cs="Arial"/>
          <w:color w:val="0000FF"/>
          <w:sz w:val="20"/>
        </w:rPr>
        <w:t xml:space="preserve">an accompanying </w:t>
      </w:r>
      <w:r w:rsidR="009F32F7">
        <w:rPr>
          <w:rFonts w:ascii="Arial" w:hAnsi="Arial" w:cs="Arial"/>
          <w:color w:val="0000FF"/>
          <w:sz w:val="20"/>
        </w:rPr>
        <w:t>Excel</w:t>
      </w:r>
      <w:r>
        <w:rPr>
          <w:rFonts w:ascii="Arial" w:hAnsi="Arial" w:cs="Arial"/>
          <w:color w:val="0000FF"/>
          <w:sz w:val="20"/>
        </w:rPr>
        <w:t xml:space="preserve"> module, </w:t>
      </w:r>
      <w:r w:rsidR="009F32F7" w:rsidRPr="003B7125">
        <w:rPr>
          <w:rFonts w:ascii="Arial" w:hAnsi="Arial" w:cs="Arial"/>
          <w:color w:val="0000FF"/>
          <w:sz w:val="20"/>
        </w:rPr>
        <w:t>2017_TP_Template_</w:t>
      </w:r>
      <w:r w:rsidR="009F32F7">
        <w:rPr>
          <w:rFonts w:ascii="Arial" w:hAnsi="Arial" w:cs="Arial"/>
          <w:color w:val="0000FF"/>
          <w:sz w:val="20"/>
        </w:rPr>
        <w:t>Excel_module</w:t>
      </w:r>
      <w:r w:rsidR="009F32F7" w:rsidRPr="003B7125">
        <w:rPr>
          <w:rFonts w:ascii="Arial" w:hAnsi="Arial" w:cs="Arial"/>
          <w:color w:val="0000FF"/>
          <w:sz w:val="20"/>
        </w:rPr>
        <w:t xml:space="preserve">. </w:t>
      </w:r>
      <w:r w:rsidR="00AA601F">
        <w:rPr>
          <w:rFonts w:ascii="Arial" w:hAnsi="Arial" w:cs="Arial"/>
          <w:color w:val="0000FF"/>
          <w:sz w:val="20"/>
        </w:rPr>
        <w:t xml:space="preserve">Please enter the </w:t>
      </w:r>
      <w:r>
        <w:rPr>
          <w:rFonts w:ascii="Arial" w:hAnsi="Arial" w:cs="Arial"/>
          <w:color w:val="0000FF"/>
          <w:sz w:val="20"/>
        </w:rPr>
        <w:t xml:space="preserve">file </w:t>
      </w:r>
      <w:r w:rsidR="00AA601F">
        <w:rPr>
          <w:rFonts w:ascii="Arial" w:hAnsi="Arial" w:cs="Arial"/>
          <w:color w:val="0000FF"/>
          <w:sz w:val="20"/>
        </w:rPr>
        <w:t xml:space="preserve">name </w:t>
      </w:r>
      <w:r w:rsidR="000B7774">
        <w:rPr>
          <w:rFonts w:ascii="Arial" w:hAnsi="Arial" w:cs="Arial"/>
          <w:color w:val="0000FF"/>
          <w:sz w:val="20"/>
        </w:rPr>
        <w:t xml:space="preserve">of </w:t>
      </w:r>
      <w:r w:rsidRPr="003B7125">
        <w:rPr>
          <w:rFonts w:ascii="Arial" w:hAnsi="Arial" w:cs="Arial"/>
          <w:color w:val="0000FF"/>
          <w:sz w:val="20"/>
        </w:rPr>
        <w:t xml:space="preserve">the </w:t>
      </w:r>
      <w:r>
        <w:rPr>
          <w:rFonts w:ascii="Arial" w:hAnsi="Arial" w:cs="Arial"/>
          <w:color w:val="0000FF"/>
          <w:sz w:val="20"/>
        </w:rPr>
        <w:t xml:space="preserve">completed module </w:t>
      </w:r>
      <w:r w:rsidR="00AA601F">
        <w:rPr>
          <w:rFonts w:ascii="Arial" w:hAnsi="Arial" w:cs="Arial"/>
          <w:color w:val="0000FF"/>
          <w:sz w:val="20"/>
        </w:rPr>
        <w:t>in this box</w:t>
      </w:r>
      <w:r w:rsidR="009F32F7" w:rsidRPr="003B7125">
        <w:rPr>
          <w:rFonts w:ascii="Arial" w:hAnsi="Arial" w:cs="Arial"/>
          <w:color w:val="0000FF"/>
          <w:sz w:val="20"/>
        </w:rPr>
        <w:t>.</w:t>
      </w:r>
    </w:p>
    <w:p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A612E" w:rsidRPr="001E492D" w:rsidTr="00AA601F">
        <w:trPr>
          <w:trHeight w:val="266"/>
          <w:tblHeader/>
        </w:trPr>
        <w:tc>
          <w:tcPr>
            <w:tcW w:w="9228" w:type="dxa"/>
          </w:tcPr>
          <w:p w:rsidR="008A612E" w:rsidRPr="008071B6" w:rsidRDefault="008A612E" w:rsidP="00AA601F">
            <w:pPr>
              <w:rPr>
                <w:b/>
                <w:color w:val="808080"/>
                <w:szCs w:val="20"/>
              </w:rPr>
            </w:pPr>
            <w:r w:rsidRPr="008071B6">
              <w:rPr>
                <w:rFonts w:ascii="Arial" w:hAnsi="Arial" w:cs="Arial"/>
                <w:color w:val="808080"/>
                <w:sz w:val="20"/>
                <w:szCs w:val="20"/>
              </w:rPr>
              <w:t>additional material in support of this proposal</w:t>
            </w:r>
          </w:p>
        </w:tc>
      </w:tr>
      <w:tr w:rsidR="00AC0E72" w:rsidRPr="001E492D" w:rsidTr="001E59C1">
        <w:trPr>
          <w:trHeight w:val="1566"/>
        </w:trPr>
        <w:tc>
          <w:tcPr>
            <w:tcW w:w="9228" w:type="dxa"/>
          </w:tcPr>
          <w:p w:rsidR="00F657DF" w:rsidRDefault="00724490" w:rsidP="008418CD">
            <w:pPr>
              <w:ind w:left="284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explain the reasons for the taxonomic changes you are proposing and </w:t>
            </w:r>
            <w:r w:rsidR="00F85A70">
              <w:rPr>
                <w:rFonts w:ascii="Arial" w:hAnsi="Arial" w:cs="Arial"/>
                <w:color w:val="0000FF"/>
                <w:sz w:val="20"/>
              </w:rPr>
              <w:t xml:space="preserve">provide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evidence to support them. </w:t>
            </w:r>
            <w:r w:rsidR="00F657DF">
              <w:rPr>
                <w:rFonts w:ascii="Arial" w:hAnsi="Arial" w:cs="Arial"/>
                <w:color w:val="0000FF"/>
                <w:sz w:val="20"/>
              </w:rPr>
              <w:t>The following information should be provided, where relevant:</w:t>
            </w:r>
          </w:p>
          <w:p w:rsidR="00F657DF" w:rsidRPr="00A77BC1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F071D8">
              <w:rPr>
                <w:rFonts w:ascii="Arial" w:hAnsi="Arial" w:cs="Arial"/>
                <w:b/>
                <w:color w:val="0000FF"/>
                <w:sz w:val="20"/>
              </w:rPr>
              <w:t>S</w:t>
            </w:r>
            <w:r w:rsidR="00F657DF" w:rsidRPr="00F071D8">
              <w:rPr>
                <w:rFonts w:ascii="Arial" w:hAnsi="Arial" w:cs="Arial"/>
                <w:b/>
                <w:color w:val="0000FF"/>
                <w:sz w:val="20"/>
              </w:rPr>
              <w:t>pecies</w:t>
            </w:r>
            <w:r w:rsidR="00F071D8" w:rsidRPr="00F071D8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071D8" w:rsidRPr="00A77BC1">
              <w:rPr>
                <w:rFonts w:ascii="Arial" w:hAnsi="Arial" w:cs="Arial"/>
                <w:b/>
                <w:color w:val="0000FF"/>
                <w:sz w:val="20"/>
              </w:rPr>
              <w:t>demarcation criteria</w:t>
            </w:r>
            <w:r w:rsid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 xml:space="preserve">Explain how new species differ from others in the genus and demonstrate that these differences meet the criteria previously established for demarcating between species. If no </w:t>
            </w:r>
            <w:r w:rsidR="00F071D8">
              <w:rPr>
                <w:rFonts w:ascii="Arial" w:hAnsi="Arial" w:cs="Arial"/>
                <w:color w:val="0000FF"/>
                <w:sz w:val="20"/>
              </w:rPr>
              <w:t>criteria</w:t>
            </w:r>
            <w:r w:rsidR="00F657DF" w:rsidRPr="00A77BC1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>have previously been established, and if there will now be more than one species in the genus, please state the demarcation criteria you are proposing.</w:t>
            </w:r>
            <w:r w:rsidR="006A1735" w:rsidRPr="00A77BC1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:rsidR="00C46C65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Higher taxa</w:t>
            </w:r>
            <w:r w:rsidR="00F657DF" w:rsidRP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</w:p>
          <w:p w:rsidR="001E7FD5" w:rsidRDefault="00B12D76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T</w:t>
            </w:r>
            <w:r w:rsidR="009551D6">
              <w:rPr>
                <w:rFonts w:ascii="Arial" w:hAnsi="Arial" w:cs="Arial"/>
                <w:color w:val="0000FF"/>
                <w:sz w:val="20"/>
              </w:rPr>
              <w:t xml:space="preserve">here is no formal requirement </w:t>
            </w:r>
            <w:r w:rsidR="0012796D">
              <w:rPr>
                <w:rFonts w:ascii="Arial" w:hAnsi="Arial" w:cs="Arial"/>
                <w:color w:val="0000FF"/>
                <w:sz w:val="20"/>
              </w:rPr>
              <w:t>to state demarcation criteria whe</w:t>
            </w:r>
            <w:r>
              <w:rPr>
                <w:rFonts w:ascii="Arial" w:hAnsi="Arial" w:cs="Arial"/>
                <w:color w:val="0000FF"/>
                <w:sz w:val="20"/>
              </w:rPr>
              <w:t>n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proposing new genera or other higher taxa</w:t>
            </w:r>
            <w:r w:rsidR="00F071D8">
              <w:rPr>
                <w:rFonts w:ascii="Arial" w:hAnsi="Arial" w:cs="Arial"/>
                <w:color w:val="0000FF"/>
                <w:sz w:val="20"/>
              </w:rPr>
              <w:t>. However, a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similar concept should apply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6C4A0C">
              <w:rPr>
                <w:rFonts w:ascii="Arial" w:hAnsi="Arial" w:cs="Arial"/>
                <w:color w:val="0000FF"/>
                <w:sz w:val="20"/>
              </w:rPr>
              <w:t xml:space="preserve">in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pursuit of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a rational and consistent 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virus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taxonomy. </w:t>
            </w:r>
          </w:p>
          <w:p w:rsidR="001E7FD5" w:rsidRDefault="0012796D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indicate the </w:t>
            </w:r>
            <w:r w:rsidR="001E7FD5" w:rsidRPr="00B12D76">
              <w:rPr>
                <w:rFonts w:ascii="Arial" w:hAnsi="Arial" w:cs="Arial"/>
                <w:b/>
                <w:color w:val="0000FF"/>
                <w:sz w:val="20"/>
              </w:rPr>
              <w:t>origin of names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assigned to </w:t>
            </w:r>
            <w:r w:rsidR="00B12D76">
              <w:rPr>
                <w:rFonts w:ascii="Arial" w:hAnsi="Arial" w:cs="Arial"/>
                <w:color w:val="0000FF"/>
                <w:sz w:val="20"/>
              </w:rPr>
              <w:t xml:space="preserve">new </w:t>
            </w:r>
            <w:r w:rsidR="006A1735">
              <w:rPr>
                <w:rFonts w:ascii="Arial" w:hAnsi="Arial" w:cs="Arial"/>
                <w:color w:val="0000FF"/>
                <w:sz w:val="20"/>
              </w:rPr>
              <w:t>taxa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at genus level and above</w:t>
            </w:r>
            <w:r w:rsidR="006A1735">
              <w:rPr>
                <w:rFonts w:ascii="Arial" w:hAnsi="Arial" w:cs="Arial"/>
                <w:color w:val="0000FF"/>
                <w:sz w:val="20"/>
              </w:rPr>
              <w:t>.</w:t>
            </w:r>
          </w:p>
          <w:p w:rsidR="00F657DF" w:rsidRDefault="00260377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For each new genus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a </w:t>
            </w:r>
            <w:r w:rsidR="009551D6" w:rsidRPr="0012796D">
              <w:rPr>
                <w:rFonts w:ascii="Arial" w:hAnsi="Arial" w:cs="Arial"/>
                <w:b/>
                <w:color w:val="0000FF"/>
                <w:sz w:val="20"/>
              </w:rPr>
              <w:t>type species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must be designated </w:t>
            </w:r>
            <w:r>
              <w:rPr>
                <w:rFonts w:ascii="Arial" w:hAnsi="Arial" w:cs="Arial"/>
                <w:color w:val="0000FF"/>
                <w:sz w:val="20"/>
              </w:rPr>
              <w:t>to represent it</w:t>
            </w:r>
            <w:r w:rsidR="0012796D">
              <w:rPr>
                <w:rFonts w:ascii="Arial" w:hAnsi="Arial" w:cs="Arial"/>
                <w:color w:val="0000FF"/>
                <w:sz w:val="20"/>
              </w:rPr>
              <w:t>. Please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explain </w:t>
            </w:r>
            <w:r w:rsidR="0012796D">
              <w:rPr>
                <w:rFonts w:ascii="Arial" w:hAnsi="Arial" w:cs="Arial"/>
                <w:color w:val="0000FF"/>
                <w:sz w:val="20"/>
              </w:rPr>
              <w:t>your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choice. </w:t>
            </w:r>
          </w:p>
          <w:p w:rsidR="006B2EE7" w:rsidRPr="00F657DF" w:rsidRDefault="006A1735" w:rsidP="00CB3A13">
            <w:pPr>
              <w:pStyle w:val="BodyTextIndent"/>
              <w:numPr>
                <w:ilvl w:val="0"/>
                <w:numId w:val="24"/>
              </w:numPr>
              <w:spacing w:after="120"/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Supporting evidence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6B2EE7" w:rsidRPr="00F657DF">
              <w:rPr>
                <w:rFonts w:ascii="Arial" w:hAnsi="Arial" w:cs="Arial"/>
                <w:color w:val="0000FF"/>
                <w:sz w:val="20"/>
              </w:rPr>
              <w:t xml:space="preserve">The use of Figures and Tables is strongly recommended (note that copying from publications will require permission from the copyright holder). For phylogenetic analysis, try to provide a tree where branch length is related to genetic distance. </w:t>
            </w:r>
          </w:p>
          <w:p w:rsidR="001E59C1" w:rsidRPr="00B91D87" w:rsidRDefault="001E59C1" w:rsidP="00724490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:rsidR="00841293" w:rsidRDefault="00841293" w:rsidP="00841293">
      <w:pPr>
        <w:rPr>
          <w:lang w:val="en-GB"/>
        </w:rPr>
      </w:pPr>
      <w:r w:rsidRPr="00F071D8">
        <w:rPr>
          <w:rFonts w:ascii="Arial" w:hAnsi="Arial" w:cs="Arial"/>
          <w:b/>
          <w:color w:val="0000FF"/>
          <w:sz w:val="20"/>
        </w:rPr>
        <w:t>Spe</w:t>
      </w:r>
      <w:r w:rsidRPr="000761B3">
        <w:rPr>
          <w:rFonts w:ascii="Arial" w:hAnsi="Arial" w:cs="Arial"/>
          <w:b/>
          <w:color w:val="0000FF"/>
          <w:sz w:val="20"/>
        </w:rPr>
        <w:t xml:space="preserve">cies </w:t>
      </w:r>
      <w:r w:rsidRPr="00A77BC1">
        <w:rPr>
          <w:rFonts w:ascii="Arial" w:hAnsi="Arial" w:cs="Arial"/>
          <w:b/>
          <w:color w:val="0000FF"/>
          <w:sz w:val="20"/>
        </w:rPr>
        <w:t>demarcation criteria</w:t>
      </w:r>
      <w:r w:rsidRPr="00771B1C">
        <w:rPr>
          <w:lang w:val="en-GB"/>
        </w:rPr>
        <w:t xml:space="preserve"> We have chosen 95% DNA sequence identity as the criterion for demarcation of species in this new genus. Each of the proposed species differs from the others with more than 5% at the DNA level as confirmed with the BLASTN algorithm.   </w:t>
      </w:r>
    </w:p>
    <w:p w:rsidR="006C4A0C" w:rsidRDefault="006C4A0C" w:rsidP="00AC0E72">
      <w:pPr>
        <w:rPr>
          <w:lang w:val="en-GB"/>
        </w:rPr>
      </w:pPr>
    </w:p>
    <w:p w:rsidR="00841293" w:rsidRPr="000741B6" w:rsidRDefault="00841293" w:rsidP="00376446">
      <w:pPr>
        <w:rPr>
          <w:lang w:val="en-GB"/>
        </w:rPr>
      </w:pPr>
      <w:r w:rsidRPr="00685D58">
        <w:rPr>
          <w:rFonts w:ascii="Arial" w:hAnsi="Arial" w:cs="Arial"/>
          <w:b/>
          <w:color w:val="0000FF"/>
          <w:sz w:val="20"/>
          <w:szCs w:val="20"/>
          <w:lang w:val="en-GB"/>
        </w:rPr>
        <w:t>Source of the name of this taxon</w:t>
      </w:r>
      <w:r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: </w:t>
      </w:r>
      <w:r w:rsidRPr="00376446">
        <w:rPr>
          <w:lang w:val="en-GB"/>
        </w:rPr>
        <w:t xml:space="preserve">Based on the name of the </w:t>
      </w:r>
      <w:r w:rsidR="00602AEB" w:rsidRPr="00376446">
        <w:rPr>
          <w:lang w:val="en-GB"/>
        </w:rPr>
        <w:t xml:space="preserve">city where the </w:t>
      </w:r>
      <w:r w:rsidRPr="00376446">
        <w:rPr>
          <w:lang w:val="en-GB"/>
        </w:rPr>
        <w:t xml:space="preserve">type isolate, Proteus phage </w:t>
      </w:r>
      <w:proofErr w:type="spellStart"/>
      <w:r w:rsidRPr="00376446">
        <w:rPr>
          <w:lang w:val="en-GB"/>
        </w:rPr>
        <w:t>vB_PmiS_Isfahan</w:t>
      </w:r>
      <w:proofErr w:type="spellEnd"/>
      <w:r w:rsidR="00602AEB" w:rsidRPr="00376446">
        <w:rPr>
          <w:lang w:val="en-GB"/>
        </w:rPr>
        <w:t xml:space="preserve"> </w:t>
      </w:r>
      <w:bookmarkStart w:id="4" w:name="_GoBack"/>
      <w:bookmarkEnd w:id="4"/>
      <w:r w:rsidR="00602AEB" w:rsidRPr="00203D79">
        <w:rPr>
          <w:lang w:val="en-GB"/>
        </w:rPr>
        <w:t xml:space="preserve">was </w:t>
      </w:r>
      <w:r w:rsidR="00376446" w:rsidRPr="00203D79">
        <w:t>studied</w:t>
      </w:r>
      <w:r w:rsidRPr="00203D79">
        <w:rPr>
          <w:lang w:val="en-GB"/>
        </w:rPr>
        <w:t>.</w:t>
      </w:r>
    </w:p>
    <w:p w:rsidR="006C4A0C" w:rsidRPr="000741B6" w:rsidRDefault="006C4A0C" w:rsidP="00AC0E72">
      <w:pPr>
        <w:rPr>
          <w:lang w:val="en-GB"/>
        </w:rPr>
      </w:pPr>
    </w:p>
    <w:p w:rsidR="00841293" w:rsidRPr="000741B6" w:rsidRDefault="00841293" w:rsidP="00841293">
      <w:pPr>
        <w:spacing w:before="120" w:line="276" w:lineRule="auto"/>
        <w:jc w:val="lowKashida"/>
        <w:rPr>
          <w:bCs/>
        </w:rPr>
      </w:pPr>
      <w:r w:rsidRPr="00376446">
        <w:rPr>
          <w:bCs/>
          <w:iCs/>
        </w:rPr>
        <w:t>Proteus</w:t>
      </w:r>
      <w:r w:rsidRPr="00376446">
        <w:rPr>
          <w:bCs/>
          <w:i/>
          <w:iCs/>
        </w:rPr>
        <w:t xml:space="preserve"> </w:t>
      </w:r>
      <w:r w:rsidRPr="00376446">
        <w:rPr>
          <w:bCs/>
          <w:iCs/>
        </w:rPr>
        <w:t>phage</w:t>
      </w:r>
      <w:r w:rsidRPr="00376446">
        <w:rPr>
          <w:bCs/>
          <w:i/>
          <w:iCs/>
        </w:rPr>
        <w:t xml:space="preserve"> </w:t>
      </w:r>
      <w:r w:rsidRPr="00376446">
        <w:rPr>
          <w:bCs/>
        </w:rPr>
        <w:t>vB_PmiS-Isfahan was isolated from sewage in Gorgan, Iran,</w:t>
      </w:r>
      <w:r w:rsidRPr="000741B6">
        <w:rPr>
          <w:bCs/>
        </w:rPr>
        <w:t xml:space="preserve"> using </w:t>
      </w:r>
      <w:r w:rsidRPr="000741B6">
        <w:rPr>
          <w:bCs/>
          <w:i/>
        </w:rPr>
        <w:t>Proteus mirabilis</w:t>
      </w:r>
      <w:r w:rsidRPr="000741B6">
        <w:rPr>
          <w:bCs/>
        </w:rPr>
        <w:t xml:space="preserve"> (TH) (Accession No.: KX446920) as the host. </w:t>
      </w:r>
      <w:r w:rsidRPr="000741B6">
        <w:rPr>
          <w:color w:val="000000"/>
          <w:lang w:bidi="fa-IR"/>
        </w:rPr>
        <w:t xml:space="preserve">Its </w:t>
      </w:r>
      <w:proofErr w:type="spellStart"/>
      <w:r w:rsidRPr="000741B6">
        <w:rPr>
          <w:color w:val="000000"/>
          <w:lang w:bidi="fa-IR"/>
        </w:rPr>
        <w:t>physico</w:t>
      </w:r>
      <w:proofErr w:type="spellEnd"/>
      <w:r w:rsidRPr="000741B6">
        <w:rPr>
          <w:color w:val="000000"/>
          <w:lang w:bidi="fa-IR"/>
        </w:rPr>
        <w:t>-chemical characteristics are listed in Table 1.</w:t>
      </w:r>
    </w:p>
    <w:p w:rsidR="00841293" w:rsidRPr="000741B6" w:rsidRDefault="00841293" w:rsidP="00841293">
      <w:pPr>
        <w:spacing w:before="120" w:line="276" w:lineRule="auto"/>
        <w:jc w:val="lowKashida"/>
        <w:rPr>
          <w:bCs/>
        </w:rPr>
      </w:pPr>
      <w:r w:rsidRPr="000741B6">
        <w:rPr>
          <w:bCs/>
        </w:rPr>
        <w:t xml:space="preserve">The relatedness of the phage was confirmed using </w:t>
      </w:r>
      <w:proofErr w:type="spellStart"/>
      <w:r w:rsidRPr="000741B6">
        <w:rPr>
          <w:bCs/>
        </w:rPr>
        <w:t>BLASTp</w:t>
      </w:r>
      <w:proofErr w:type="spellEnd"/>
      <w:r w:rsidRPr="000741B6">
        <w:rPr>
          <w:bCs/>
        </w:rPr>
        <w:t xml:space="preserve"> </w:t>
      </w:r>
      <w:r w:rsidR="00350B6E" w:rsidRPr="000741B6">
        <w:rPr>
          <w:bCs/>
        </w:rPr>
        <w:fldChar w:fldCharType="begin"/>
      </w:r>
      <w:r w:rsidRPr="000741B6">
        <w:rPr>
          <w:bCs/>
        </w:rPr>
        <w:instrText xml:space="preserve"> ADDIN EN.CITE &lt;EndNote&gt;&lt;Cite&gt;&lt;Author&gt;Altschul&lt;/Author&gt;&lt;Year&gt;1990&lt;/Year&gt;&lt;RecNum&gt;27&lt;/RecNum&gt;&lt;DisplayText&gt;(1)&lt;/DisplayText&gt;&lt;record&gt;&lt;rec-number&gt;27&lt;/rec-number&gt;&lt;foreign-keys&gt;&lt;key app="EN" db-id="z292pws0ge5zvpe2p0tp9ewgwpr9tdzd02sa"&gt;27&lt;/key&gt;&lt;/foreign-keys&gt;&lt;ref-type name="Journal Article"&gt;17&lt;/ref-type&gt;&lt;contributors&gt;&lt;authors&gt;&lt;author&gt;Altschul, Stephen F&lt;/author&gt;&lt;author&gt;Gish, Warren&lt;/author&gt;&lt;author&gt;Miller, Webb&lt;/author&gt;&lt;author&gt;Myers, Eugene W&lt;/author&gt;&lt;author&gt;Lipman, David J&lt;/author&gt;&lt;/authors&gt;&lt;/contributors&gt;&lt;titles&gt;&lt;title&gt;Basic local alignment search tool&lt;/title&gt;&lt;secondary-title&gt;Journal of molecular biology&lt;/secondary-title&gt;&lt;/titles&gt;&lt;periodical&gt;&lt;full-title&gt;Journal of molecular biology&lt;/full-title&gt;&lt;/periodical&gt;&lt;pages&gt;403-410&lt;/pages&gt;&lt;volume&gt;215&lt;/volume&gt;&lt;number&gt;3&lt;/number&gt;&lt;dates&gt;&lt;year&gt;1990&lt;/year&gt;&lt;/dates&gt;&lt;isbn&gt;0022-2836&lt;/isbn&gt;&lt;urls&gt;&lt;/urls&gt;&lt;/record&gt;&lt;/Cite&gt;&lt;/EndNote&gt;</w:instrText>
      </w:r>
      <w:r w:rsidR="00350B6E" w:rsidRPr="000741B6">
        <w:rPr>
          <w:bCs/>
        </w:rPr>
        <w:fldChar w:fldCharType="separate"/>
      </w:r>
      <w:r w:rsidRPr="000741B6">
        <w:rPr>
          <w:bCs/>
          <w:noProof/>
        </w:rPr>
        <w:t>(</w:t>
      </w:r>
      <w:hyperlink w:anchor="_ENREF_1" w:tooltip="Altschul, 1990 #27" w:history="1">
        <w:r w:rsidRPr="000741B6">
          <w:rPr>
            <w:bCs/>
            <w:noProof/>
          </w:rPr>
          <w:t>1</w:t>
        </w:r>
      </w:hyperlink>
      <w:r w:rsidRPr="000741B6">
        <w:rPr>
          <w:bCs/>
          <w:noProof/>
        </w:rPr>
        <w:t>)</w:t>
      </w:r>
      <w:r w:rsidR="00350B6E" w:rsidRPr="000741B6">
        <w:rPr>
          <w:bCs/>
        </w:rPr>
        <w:fldChar w:fldCharType="end"/>
      </w:r>
      <w:r w:rsidRPr="000741B6">
        <w:rPr>
          <w:bCs/>
        </w:rPr>
        <w:t xml:space="preserve">; </w:t>
      </w:r>
      <w:proofErr w:type="spellStart"/>
      <w:r w:rsidRPr="000741B6">
        <w:rPr>
          <w:bCs/>
        </w:rPr>
        <w:t>progressiveMauve</w:t>
      </w:r>
      <w:proofErr w:type="spellEnd"/>
      <w:r w:rsidRPr="000741B6">
        <w:rPr>
          <w:bCs/>
        </w:rPr>
        <w:t xml:space="preserve"> </w:t>
      </w:r>
      <w:r w:rsidR="00350B6E" w:rsidRPr="000741B6">
        <w:rPr>
          <w:bCs/>
        </w:rPr>
        <w:fldChar w:fldCharType="begin"/>
      </w:r>
      <w:r w:rsidRPr="000741B6">
        <w:rPr>
          <w:bCs/>
        </w:rPr>
        <w:instrText xml:space="preserve"> ADDIN EN.CITE &lt;EndNote&gt;&lt;Cite&gt;&lt;Author&gt;Darling&lt;/Author&gt;&lt;Year&gt;2004&lt;/Year&gt;&lt;RecNum&gt;28&lt;/RecNum&gt;&lt;DisplayText&gt;(2)&lt;/DisplayText&gt;&lt;record&gt;&lt;rec-number&gt;28&lt;/rec-number&gt;&lt;foreign-keys&gt;&lt;key app="EN" db-id="z292pws0ge5zvpe2p0tp9ewgwpr9tdzd02sa"&gt;28&lt;/key&gt;&lt;/foreign-keys&gt;&lt;ref-type name="Journal Article"&gt;17&lt;/ref-type&gt;&lt;contributors&gt;&lt;authors&gt;&lt;author&gt;Darling, Aaron CE&lt;/author&gt;&lt;author&gt;Mau, Bob&lt;/author&gt;&lt;author&gt;Blattner, Frederick R&lt;/author&gt;&lt;author&gt;Perna, Nicole T&lt;/author&gt;&lt;/authors&gt;&lt;/contributors&gt;&lt;titles&gt;&lt;title&gt;Mauve: multiple alignment of conserved genomic sequence with rearrangements&lt;/title&gt;&lt;secondary-title&gt;Genome research&lt;/secondary-title&gt;&lt;/titles&gt;&lt;periodical&gt;&lt;full-title&gt;Genome research&lt;/full-title&gt;&lt;/periodical&gt;&lt;pages&gt;1394-1403&lt;/pages&gt;&lt;volume&gt;14&lt;/volume&gt;&lt;number&gt;7&lt;/number&gt;&lt;dates&gt;&lt;year&gt;2004&lt;/year&gt;&lt;/dates&gt;&lt;isbn&gt;1088-9051&lt;/isbn&gt;&lt;urls&gt;&lt;/urls&gt;&lt;/record&gt;&lt;/Cite&gt;&lt;/EndNote&gt;</w:instrText>
      </w:r>
      <w:r w:rsidR="00350B6E" w:rsidRPr="000741B6">
        <w:rPr>
          <w:bCs/>
        </w:rPr>
        <w:fldChar w:fldCharType="separate"/>
      </w:r>
      <w:r w:rsidRPr="000741B6">
        <w:rPr>
          <w:bCs/>
          <w:noProof/>
        </w:rPr>
        <w:t>(</w:t>
      </w:r>
      <w:hyperlink w:anchor="_ENREF_2" w:tooltip="Darling, 2004 #28" w:history="1">
        <w:r w:rsidRPr="000741B6">
          <w:rPr>
            <w:bCs/>
            <w:noProof/>
          </w:rPr>
          <w:t>2</w:t>
        </w:r>
      </w:hyperlink>
      <w:r w:rsidRPr="000741B6">
        <w:rPr>
          <w:bCs/>
          <w:noProof/>
        </w:rPr>
        <w:t>)</w:t>
      </w:r>
      <w:r w:rsidR="00350B6E" w:rsidRPr="000741B6">
        <w:rPr>
          <w:bCs/>
        </w:rPr>
        <w:fldChar w:fldCharType="end"/>
      </w:r>
      <w:r w:rsidRPr="000741B6">
        <w:rPr>
          <w:bCs/>
        </w:rPr>
        <w:t xml:space="preserve"> (Fig.1); and, by phylogenetic analysis through the “One Click” server </w:t>
      </w:r>
      <w:r w:rsidR="00350B6E" w:rsidRPr="000741B6">
        <w:rPr>
          <w:bCs/>
        </w:rPr>
        <w:fldChar w:fldCharType="begin"/>
      </w:r>
      <w:r w:rsidRPr="000741B6">
        <w:rPr>
          <w:bCs/>
        </w:rPr>
        <w:instrText xml:space="preserve"> ADDIN EN.CITE &lt;EndNote&gt;&lt;Cite&gt;&lt;Author&gt;Dereeper&lt;/Author&gt;&lt;Year&gt;2008&lt;/Year&gt;&lt;RecNum&gt;26&lt;/RecNum&gt;&lt;DisplayText&gt;(3)&lt;/DisplayText&gt;&lt;record&gt;&lt;rec-number&gt;26&lt;/rec-number&gt;&lt;foreign-keys&gt;&lt;key app="EN" db-id="z292pws0ge5zvpe2p0tp9ewgwpr9tdzd02sa"&gt;26&lt;/key&gt;&lt;/foreign-keys&gt;&lt;ref-type name="Journal Article"&gt;17&lt;/ref-type&gt;&lt;contributors&gt;&lt;authors&gt;&lt;author&gt;Dereeper, Alexis&lt;/author&gt;&lt;author&gt;Guignon, Valentin&lt;/author&gt;&lt;author&gt;Blanc, Guillaume&lt;/author&gt;&lt;author&gt;Audic, Stéphane&lt;/author&gt;&lt;author&gt;Buffet, S&lt;/author&gt;&lt;author&gt;Chevenet, François&lt;/author&gt;&lt;author&gt;Dufayard, J-F&lt;/author&gt;&lt;author&gt;Guindon, Stéphane&lt;/author&gt;&lt;author&gt;Lefort, Vincent&lt;/author&gt;&lt;author&gt;Lescot, Magali&lt;/author&gt;&lt;/authors&gt;&lt;/contributors&gt;&lt;titles&gt;&lt;title&gt;Phylogeny. fr: robust phylogenetic analysis for the non-specialist&lt;/title&gt;&lt;secondary-title&gt;Nucleic acids research&lt;/secondary-title&gt;&lt;/titles&gt;&lt;periodical&gt;&lt;full-title&gt;Nucleic acids research&lt;/full-title&gt;&lt;/periodical&gt;&lt;pages&gt;W465-W469&lt;/pages&gt;&lt;volume&gt;36&lt;/volume&gt;&lt;number&gt;suppl_2&lt;/number&gt;&lt;dates&gt;&lt;year&gt;2008&lt;/year&gt;&lt;/dates&gt;&lt;isbn&gt;0305-1048&lt;/isbn&gt;&lt;urls&gt;&lt;/urls&gt;&lt;/record&gt;&lt;/Cite&gt;&lt;/EndNote&gt;</w:instrText>
      </w:r>
      <w:r w:rsidR="00350B6E" w:rsidRPr="000741B6">
        <w:rPr>
          <w:bCs/>
        </w:rPr>
        <w:fldChar w:fldCharType="separate"/>
      </w:r>
      <w:r w:rsidRPr="000741B6">
        <w:rPr>
          <w:bCs/>
          <w:noProof/>
        </w:rPr>
        <w:t>(</w:t>
      </w:r>
      <w:hyperlink w:anchor="_ENREF_3" w:tooltip="Dereeper, 2008 #26" w:history="1">
        <w:r w:rsidRPr="000741B6">
          <w:rPr>
            <w:bCs/>
            <w:noProof/>
          </w:rPr>
          <w:t>3</w:t>
        </w:r>
      </w:hyperlink>
      <w:r w:rsidRPr="000741B6">
        <w:rPr>
          <w:bCs/>
          <w:noProof/>
        </w:rPr>
        <w:t>)</w:t>
      </w:r>
      <w:r w:rsidR="00350B6E" w:rsidRPr="000741B6">
        <w:rPr>
          <w:bCs/>
        </w:rPr>
        <w:fldChar w:fldCharType="end"/>
      </w:r>
      <w:r w:rsidRPr="000741B6">
        <w:rPr>
          <w:bCs/>
        </w:rPr>
        <w:t xml:space="preserve"> of the annotated major capsid proteins (MCP) </w:t>
      </w:r>
      <w:r w:rsidRPr="000741B6">
        <w:t xml:space="preserve">and large subunit terminase proteins </w:t>
      </w:r>
      <w:r w:rsidRPr="000741B6">
        <w:rPr>
          <w:bCs/>
        </w:rPr>
        <w:t>(Fig.2).We chose MCP protein</w:t>
      </w:r>
      <w:r w:rsidRPr="000741B6">
        <w:t xml:space="preserve"> and large subunit terminase proteins</w:t>
      </w:r>
      <w:r w:rsidRPr="000741B6">
        <w:rPr>
          <w:bCs/>
        </w:rPr>
        <w:t xml:space="preserve"> sequences to identify </w:t>
      </w:r>
      <w:r w:rsidR="000741B6">
        <w:rPr>
          <w:bCs/>
        </w:rPr>
        <w:t xml:space="preserve">the </w:t>
      </w:r>
      <w:r w:rsidRPr="000741B6">
        <w:rPr>
          <w:bCs/>
        </w:rPr>
        <w:t>relation</w:t>
      </w:r>
      <w:r w:rsidR="000741B6">
        <w:rPr>
          <w:bCs/>
        </w:rPr>
        <w:t>ship</w:t>
      </w:r>
      <w:r w:rsidRPr="000741B6">
        <w:rPr>
          <w:bCs/>
        </w:rPr>
        <w:t xml:space="preserve"> </w:t>
      </w:r>
      <w:r w:rsidR="000741B6">
        <w:rPr>
          <w:bCs/>
        </w:rPr>
        <w:t>between this</w:t>
      </w:r>
      <w:r w:rsidRPr="000741B6">
        <w:rPr>
          <w:bCs/>
        </w:rPr>
        <w:t xml:space="preserve"> phage </w:t>
      </w:r>
      <w:r w:rsidR="000741B6">
        <w:rPr>
          <w:bCs/>
        </w:rPr>
        <w:t>and</w:t>
      </w:r>
      <w:r w:rsidRPr="000741B6">
        <w:rPr>
          <w:bCs/>
        </w:rPr>
        <w:t xml:space="preserve"> other tailed phages (taxid:28883), as the phage is known to have tail (Fig.3; Electron microscopy). The similarity and identity of the </w:t>
      </w:r>
      <w:proofErr w:type="spellStart"/>
      <w:r w:rsidRPr="000741B6">
        <w:rPr>
          <w:bCs/>
        </w:rPr>
        <w:t>BLASTp</w:t>
      </w:r>
      <w:proofErr w:type="spellEnd"/>
      <w:r w:rsidRPr="000741B6">
        <w:rPr>
          <w:bCs/>
        </w:rPr>
        <w:t xml:space="preserve"> results were 97% and 60-61% for major capsid protein, and 99% and 60% for large terminase protein respectively. The results were for the phages </w:t>
      </w:r>
      <w:r w:rsidRPr="000741B6">
        <w:rPr>
          <w:bCs/>
          <w:i/>
          <w:iCs/>
        </w:rPr>
        <w:t xml:space="preserve">Salmonella </w:t>
      </w:r>
      <w:r w:rsidRPr="000741B6">
        <w:rPr>
          <w:bCs/>
          <w:iCs/>
        </w:rPr>
        <w:t>phages</w:t>
      </w:r>
      <w:r w:rsidRPr="000741B6">
        <w:rPr>
          <w:bCs/>
        </w:rPr>
        <w:t xml:space="preserve"> </w:t>
      </w:r>
      <w:proofErr w:type="spellStart"/>
      <w:r w:rsidRPr="000741B6">
        <w:rPr>
          <w:bCs/>
        </w:rPr>
        <w:t>vB_SenS_Sasha</w:t>
      </w:r>
      <w:proofErr w:type="spellEnd"/>
      <w:r w:rsidRPr="000741B6">
        <w:rPr>
          <w:bCs/>
        </w:rPr>
        <w:t xml:space="preserve">, FSL SP-062, and 9NA, all belong in the family </w:t>
      </w:r>
      <w:r w:rsidRPr="000741B6">
        <w:rPr>
          <w:bCs/>
          <w:i/>
          <w:iCs/>
        </w:rPr>
        <w:t>Siphoviridae</w:t>
      </w:r>
      <w:r w:rsidRPr="000741B6">
        <w:rPr>
          <w:bCs/>
        </w:rPr>
        <w:t xml:space="preserve">. </w:t>
      </w:r>
    </w:p>
    <w:p w:rsidR="00841293" w:rsidRPr="000741B6" w:rsidRDefault="00841293" w:rsidP="00841293">
      <w:pPr>
        <w:spacing w:before="120" w:line="276" w:lineRule="auto"/>
        <w:jc w:val="lowKashida"/>
        <w:rPr>
          <w:bCs/>
        </w:rPr>
      </w:pPr>
      <w:proofErr w:type="spellStart"/>
      <w:r w:rsidRPr="000741B6">
        <w:t>BLASTn</w:t>
      </w:r>
      <w:proofErr w:type="spellEnd"/>
      <w:r w:rsidRPr="000741B6">
        <w:t xml:space="preserve"> (Table 1) and phylogenetic analyses (Fig. 2) (3) all indicate that</w:t>
      </w:r>
      <w:r w:rsidRPr="000741B6">
        <w:rPr>
          <w:bCs/>
          <w:i/>
          <w:iCs/>
        </w:rPr>
        <w:t xml:space="preserve"> </w:t>
      </w:r>
      <w:r w:rsidRPr="000741B6">
        <w:rPr>
          <w:bCs/>
          <w:iCs/>
        </w:rPr>
        <w:t xml:space="preserve">Proteus phage </w:t>
      </w:r>
      <w:r w:rsidRPr="000741B6">
        <w:rPr>
          <w:bCs/>
        </w:rPr>
        <w:t>vB_PmiS-Isfahan</w:t>
      </w:r>
      <w:r w:rsidRPr="000741B6">
        <w:t xml:space="preserve">, is significantly different, and distinct from other genera. Therefore, we propose a new genus, </w:t>
      </w:r>
      <w:proofErr w:type="spellStart"/>
      <w:r w:rsidR="00BA66BE" w:rsidRPr="00781450">
        <w:rPr>
          <w:i/>
          <w:iCs/>
        </w:rPr>
        <w:t>Gorgan</w:t>
      </w:r>
      <w:r w:rsidRPr="00781450">
        <w:rPr>
          <w:i/>
          <w:iCs/>
        </w:rPr>
        <w:t>virus</w:t>
      </w:r>
      <w:proofErr w:type="spellEnd"/>
      <w:r w:rsidRPr="00781450">
        <w:rPr>
          <w:i/>
          <w:iCs/>
        </w:rPr>
        <w:t>,</w:t>
      </w:r>
      <w:r w:rsidRPr="00781450">
        <w:t xml:space="preserve"> </w:t>
      </w:r>
      <w:r w:rsidRPr="00781450">
        <w:rPr>
          <w:lang w:bidi="fa-IR"/>
        </w:rPr>
        <w:t>with</w:t>
      </w:r>
      <w:r w:rsidRPr="00781450">
        <w:rPr>
          <w:i/>
          <w:iCs/>
          <w:lang w:bidi="fa-IR"/>
        </w:rPr>
        <w:t xml:space="preserve"> </w:t>
      </w:r>
      <w:r w:rsidRPr="00781450">
        <w:rPr>
          <w:bCs/>
          <w:i/>
          <w:iCs/>
        </w:rPr>
        <w:t xml:space="preserve">Proteus virus Isfahan </w:t>
      </w:r>
      <w:r w:rsidRPr="00781450">
        <w:rPr>
          <w:bCs/>
        </w:rPr>
        <w:t>as</w:t>
      </w:r>
      <w:r w:rsidRPr="000741B6">
        <w:rPr>
          <w:bCs/>
        </w:rPr>
        <w:t xml:space="preserve"> the prototype species of the genus</w:t>
      </w:r>
      <w:r w:rsidRPr="000741B6">
        <w:t xml:space="preserve"> within the family </w:t>
      </w:r>
      <w:r w:rsidRPr="000741B6">
        <w:rPr>
          <w:i/>
          <w:iCs/>
        </w:rPr>
        <w:t>Siphoviridae</w:t>
      </w:r>
      <w:r w:rsidRPr="000741B6">
        <w:rPr>
          <w:bCs/>
        </w:rPr>
        <w:t>.</w:t>
      </w:r>
    </w:p>
    <w:p w:rsidR="009320C8" w:rsidRPr="000741B6" w:rsidRDefault="009320C8" w:rsidP="00AC0E72">
      <w:pPr>
        <w:rPr>
          <w:lang w:val="en-GB"/>
        </w:rPr>
      </w:pPr>
    </w:p>
    <w:tbl>
      <w:tblPr>
        <w:tblW w:w="10007" w:type="dxa"/>
        <w:tblLook w:val="04A0" w:firstRow="1" w:lastRow="0" w:firstColumn="1" w:lastColumn="0" w:noHBand="0" w:noVBand="1"/>
      </w:tblPr>
      <w:tblGrid>
        <w:gridCol w:w="10026"/>
      </w:tblGrid>
      <w:tr w:rsidR="00841293" w:rsidRPr="000741B6" w:rsidTr="00E122BA">
        <w:tc>
          <w:tcPr>
            <w:tcW w:w="10007" w:type="dxa"/>
          </w:tcPr>
          <w:p w:rsidR="00841293" w:rsidRPr="000741B6" w:rsidRDefault="00841293" w:rsidP="00E122BA">
            <w:pPr>
              <w:spacing w:after="120"/>
              <w:rPr>
                <w:b/>
                <w:bCs/>
                <w:color w:val="808080"/>
              </w:rPr>
            </w:pPr>
            <w:r w:rsidRPr="000741B6">
              <w:rPr>
                <w:b/>
                <w:color w:val="000000"/>
                <w:sz w:val="20"/>
              </w:rPr>
              <w:lastRenderedPageBreak/>
              <w:br w:type="page"/>
            </w:r>
            <w:r w:rsidRPr="000741B6">
              <w:rPr>
                <w:b/>
                <w:bCs/>
              </w:rPr>
              <w:t xml:space="preserve">Table 1. </w:t>
            </w:r>
            <w:r w:rsidRPr="000741B6">
              <w:t>Properties of the Proteus phage vB_PmiS-Isfahan</w:t>
            </w:r>
          </w:p>
          <w:tbl>
            <w:tblPr>
              <w:tblW w:w="963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3"/>
              <w:gridCol w:w="1503"/>
              <w:gridCol w:w="1030"/>
              <w:gridCol w:w="2354"/>
              <w:gridCol w:w="699"/>
              <w:gridCol w:w="883"/>
              <w:gridCol w:w="1607"/>
            </w:tblGrid>
            <w:tr w:rsidR="00841293" w:rsidRPr="000741B6" w:rsidTr="00602AEB">
              <w:trPr>
                <w:jc w:val="center"/>
              </w:trPr>
              <w:tc>
                <w:tcPr>
                  <w:tcW w:w="1563" w:type="dxa"/>
                  <w:shd w:val="clear" w:color="auto" w:fill="auto"/>
                </w:tcPr>
                <w:p w:rsidR="00841293" w:rsidRPr="000741B6" w:rsidRDefault="00841293" w:rsidP="00E122BA">
                  <w:pPr>
                    <w:spacing w:after="120"/>
                    <w:rPr>
                      <w:color w:val="000000"/>
                    </w:rPr>
                  </w:pPr>
                  <w:r w:rsidRPr="000741B6">
                    <w:rPr>
                      <w:color w:val="000000"/>
                    </w:rPr>
                    <w:t>Proteus phage</w:t>
                  </w:r>
                </w:p>
              </w:tc>
              <w:tc>
                <w:tcPr>
                  <w:tcW w:w="1503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287"/>
                  </w:tblGrid>
                  <w:tr w:rsidR="00841293" w:rsidRPr="000741B6" w:rsidTr="00E122BA">
                    <w:trPr>
                      <w:trHeight w:val="385"/>
                    </w:trPr>
                    <w:tc>
                      <w:tcPr>
                        <w:tcW w:w="0" w:type="auto"/>
                      </w:tcPr>
                      <w:p w:rsidR="00841293" w:rsidRPr="000741B6" w:rsidRDefault="00841293" w:rsidP="00E122B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lang w:bidi="fa-IR"/>
                          </w:rPr>
                        </w:pPr>
                        <w:r w:rsidRPr="000741B6">
                          <w:rPr>
                            <w:color w:val="000000"/>
                            <w:lang w:bidi="fa-IR"/>
                          </w:rPr>
                          <w:t xml:space="preserve">GenBank Accession No. </w:t>
                        </w:r>
                      </w:p>
                    </w:tc>
                  </w:tr>
                </w:tbl>
                <w:p w:rsidR="00841293" w:rsidRPr="000741B6" w:rsidRDefault="00841293" w:rsidP="00E122BA">
                  <w:pPr>
                    <w:spacing w:after="120"/>
                    <w:rPr>
                      <w:color w:val="000000"/>
                    </w:rPr>
                  </w:pPr>
                </w:p>
              </w:tc>
              <w:tc>
                <w:tcPr>
                  <w:tcW w:w="1030" w:type="dxa"/>
                  <w:shd w:val="clear" w:color="auto" w:fill="auto"/>
                </w:tcPr>
                <w:p w:rsidR="00841293" w:rsidRPr="000741B6" w:rsidRDefault="00841293" w:rsidP="00E122B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0741B6">
                    <w:rPr>
                      <w:rFonts w:ascii="Times New Roman" w:hAnsi="Times New Roman" w:cs="Times New Roman"/>
                    </w:rPr>
                    <w:t>Genome length (</w:t>
                  </w:r>
                  <w:proofErr w:type="spellStart"/>
                  <w:r w:rsidR="000741B6">
                    <w:rPr>
                      <w:rFonts w:ascii="Times New Roman" w:hAnsi="Times New Roman" w:cs="Times New Roman"/>
                    </w:rPr>
                    <w:t>kbp</w:t>
                  </w:r>
                  <w:proofErr w:type="spellEnd"/>
                  <w:r w:rsidRPr="000741B6">
                    <w:rPr>
                      <w:rFonts w:ascii="Times New Roman" w:hAnsi="Times New Roman" w:cs="Times New Roman"/>
                    </w:rPr>
                    <w:t xml:space="preserve">) </w:t>
                  </w:r>
                </w:p>
                <w:p w:rsidR="00841293" w:rsidRPr="000741B6" w:rsidRDefault="00841293" w:rsidP="00E122BA">
                  <w:pPr>
                    <w:spacing w:after="120"/>
                    <w:rPr>
                      <w:color w:val="000000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841293" w:rsidRPr="000741B6" w:rsidRDefault="00841293" w:rsidP="00E122B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0741B6">
                    <w:rPr>
                      <w:rFonts w:ascii="Times New Roman" w:hAnsi="Times New Roman" w:cs="Times New Roman"/>
                    </w:rPr>
                    <w:t xml:space="preserve">Genome (mol% G+C) </w:t>
                  </w:r>
                </w:p>
                <w:p w:rsidR="00841293" w:rsidRPr="000741B6" w:rsidRDefault="00841293" w:rsidP="00E122BA">
                  <w:pPr>
                    <w:spacing w:after="120"/>
                    <w:rPr>
                      <w:color w:val="000000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</w:tcPr>
                <w:p w:rsidR="00841293" w:rsidRPr="000741B6" w:rsidRDefault="00841293" w:rsidP="00E122B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0741B6">
                    <w:rPr>
                      <w:rFonts w:ascii="Times New Roman" w:hAnsi="Times New Roman" w:cs="Times New Roman"/>
                    </w:rPr>
                    <w:t xml:space="preserve">No. CDS </w:t>
                  </w:r>
                </w:p>
                <w:p w:rsidR="00841293" w:rsidRPr="000741B6" w:rsidRDefault="00841293" w:rsidP="00E122BA">
                  <w:pPr>
                    <w:spacing w:after="120"/>
                    <w:rPr>
                      <w:color w:val="000000"/>
                    </w:rPr>
                  </w:pPr>
                </w:p>
              </w:tc>
              <w:tc>
                <w:tcPr>
                  <w:tcW w:w="883" w:type="dxa"/>
                  <w:shd w:val="clear" w:color="auto" w:fill="auto"/>
                </w:tcPr>
                <w:p w:rsidR="00841293" w:rsidRPr="000741B6" w:rsidRDefault="00841293" w:rsidP="00E122B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0741B6">
                    <w:rPr>
                      <w:rFonts w:ascii="Times New Roman" w:hAnsi="Times New Roman" w:cs="Times New Roman"/>
                    </w:rPr>
                    <w:t xml:space="preserve">No. </w:t>
                  </w:r>
                  <w:proofErr w:type="spellStart"/>
                  <w:r w:rsidRPr="000741B6">
                    <w:rPr>
                      <w:rFonts w:ascii="Times New Roman" w:hAnsi="Times New Roman" w:cs="Times New Roman"/>
                    </w:rPr>
                    <w:t>tRNAs</w:t>
                  </w:r>
                  <w:proofErr w:type="spellEnd"/>
                  <w:r w:rsidRPr="000741B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41293" w:rsidRPr="000741B6" w:rsidRDefault="00841293" w:rsidP="00E122BA">
                  <w:pPr>
                    <w:spacing w:after="120"/>
                    <w:rPr>
                      <w:color w:val="000000"/>
                    </w:rPr>
                  </w:pPr>
                </w:p>
              </w:tc>
              <w:tc>
                <w:tcPr>
                  <w:tcW w:w="1607" w:type="dxa"/>
                  <w:shd w:val="clear" w:color="auto" w:fill="auto"/>
                </w:tcPr>
                <w:p w:rsidR="00841293" w:rsidRPr="000741B6" w:rsidRDefault="00841293" w:rsidP="00E122B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0741B6">
                    <w:rPr>
                      <w:rFonts w:ascii="Times New Roman" w:hAnsi="Times New Roman" w:cs="Times New Roman"/>
                    </w:rPr>
                    <w:t xml:space="preserve">DNA (% sequence identity) * </w:t>
                  </w:r>
                </w:p>
                <w:p w:rsidR="00841293" w:rsidRPr="000741B6" w:rsidRDefault="00841293" w:rsidP="00E122BA">
                  <w:pPr>
                    <w:spacing w:after="120"/>
                    <w:rPr>
                      <w:color w:val="000000"/>
                    </w:rPr>
                  </w:pPr>
                </w:p>
              </w:tc>
            </w:tr>
            <w:tr w:rsidR="00841293" w:rsidRPr="000741B6" w:rsidTr="00602AEB">
              <w:trPr>
                <w:jc w:val="center"/>
              </w:trPr>
              <w:tc>
                <w:tcPr>
                  <w:tcW w:w="1563" w:type="dxa"/>
                  <w:shd w:val="clear" w:color="auto" w:fill="auto"/>
                </w:tcPr>
                <w:p w:rsidR="00841293" w:rsidRPr="000741B6" w:rsidRDefault="00841293" w:rsidP="00E122BA">
                  <w:pPr>
                    <w:spacing w:after="120"/>
                    <w:rPr>
                      <w:color w:val="000000"/>
                    </w:rPr>
                  </w:pPr>
                  <w:r w:rsidRPr="000741B6">
                    <w:rPr>
                      <w:color w:val="000000"/>
                    </w:rPr>
                    <w:t>vB_PmiS-Isfahan</w:t>
                  </w:r>
                </w:p>
              </w:tc>
              <w:tc>
                <w:tcPr>
                  <w:tcW w:w="1503" w:type="dxa"/>
                  <w:shd w:val="clear" w:color="auto" w:fill="auto"/>
                </w:tcPr>
                <w:p w:rsidR="00841293" w:rsidRPr="000741B6" w:rsidRDefault="00841293" w:rsidP="00E122BA">
                  <w:pPr>
                    <w:spacing w:after="120"/>
                    <w:rPr>
                      <w:color w:val="000000"/>
                    </w:rPr>
                  </w:pPr>
                  <w:r w:rsidRPr="000741B6">
                    <w:rPr>
                      <w:color w:val="000000"/>
                    </w:rPr>
                    <w:t>KY742649.2</w:t>
                  </w:r>
                </w:p>
              </w:tc>
              <w:tc>
                <w:tcPr>
                  <w:tcW w:w="1030" w:type="dxa"/>
                  <w:shd w:val="clear" w:color="auto" w:fill="auto"/>
                </w:tcPr>
                <w:p w:rsidR="00841293" w:rsidRPr="000741B6" w:rsidRDefault="00841293" w:rsidP="00E122B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000000"/>
                      <w:lang w:bidi="fa-IR"/>
                    </w:rPr>
                  </w:pPr>
                  <w:r w:rsidRPr="000741B6">
                    <w:rPr>
                      <w:color w:val="000000"/>
                      <w:lang w:bidi="fa-IR"/>
                    </w:rPr>
                    <w:t>54</w:t>
                  </w:r>
                  <w:r w:rsidR="000741B6">
                    <w:rPr>
                      <w:color w:val="000000"/>
                      <w:lang w:bidi="fa-IR"/>
                    </w:rPr>
                    <w:t>.</w:t>
                  </w:r>
                  <w:r w:rsidRPr="000741B6">
                    <w:rPr>
                      <w:color w:val="000000"/>
                      <w:lang w:bidi="fa-IR"/>
                    </w:rPr>
                    <w:t>8</w:t>
                  </w:r>
                  <w:r w:rsidR="000741B6">
                    <w:rPr>
                      <w:color w:val="000000"/>
                      <w:lang w:bidi="fa-IR"/>
                    </w:rPr>
                    <w:t>4</w:t>
                  </w:r>
                </w:p>
                <w:p w:rsidR="00841293" w:rsidRPr="000741B6" w:rsidRDefault="00841293" w:rsidP="00E122BA">
                  <w:pPr>
                    <w:spacing w:after="120"/>
                    <w:rPr>
                      <w:color w:val="000000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841293" w:rsidRPr="000741B6" w:rsidRDefault="00841293" w:rsidP="00E122BA">
                  <w:pPr>
                    <w:spacing w:after="120"/>
                    <w:rPr>
                      <w:color w:val="000000"/>
                    </w:rPr>
                  </w:pPr>
                  <w:r w:rsidRPr="000741B6">
                    <w:rPr>
                      <w:color w:val="000000"/>
                    </w:rPr>
                    <w:t>36.</w:t>
                  </w:r>
                  <w:r w:rsidR="000741B6">
                    <w:rPr>
                      <w:color w:val="000000"/>
                    </w:rPr>
                    <w:t>1</w:t>
                  </w:r>
                  <w:r w:rsidRPr="000741B6">
                    <w:rPr>
                      <w:color w:val="000000"/>
                    </w:rPr>
                    <w:t>%.</w:t>
                  </w:r>
                </w:p>
              </w:tc>
              <w:tc>
                <w:tcPr>
                  <w:tcW w:w="699" w:type="dxa"/>
                  <w:shd w:val="clear" w:color="auto" w:fill="auto"/>
                </w:tcPr>
                <w:p w:rsidR="00841293" w:rsidRPr="000741B6" w:rsidRDefault="00841293" w:rsidP="00E122BA">
                  <w:pPr>
                    <w:spacing w:after="120"/>
                    <w:rPr>
                      <w:color w:val="000000"/>
                    </w:rPr>
                  </w:pPr>
                  <w:r w:rsidRPr="000741B6">
                    <w:rPr>
                      <w:color w:val="000000"/>
                    </w:rPr>
                    <w:t>91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841293" w:rsidRPr="000741B6" w:rsidRDefault="00841293" w:rsidP="00E122BA">
                  <w:pPr>
                    <w:spacing w:after="120"/>
                    <w:rPr>
                      <w:color w:val="000000"/>
                    </w:rPr>
                  </w:pPr>
                  <w:r w:rsidRPr="000741B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607" w:type="dxa"/>
                  <w:shd w:val="clear" w:color="auto" w:fill="auto"/>
                </w:tcPr>
                <w:p w:rsidR="00841293" w:rsidRPr="000741B6" w:rsidRDefault="00841293" w:rsidP="00E122BA">
                  <w:pPr>
                    <w:spacing w:after="120"/>
                    <w:rPr>
                      <w:color w:val="000000"/>
                    </w:rPr>
                  </w:pPr>
                  <w:r w:rsidRPr="000741B6">
                    <w:rPr>
                      <w:color w:val="000000"/>
                    </w:rPr>
                    <w:t>100</w:t>
                  </w:r>
                </w:p>
              </w:tc>
            </w:tr>
            <w:tr w:rsidR="000741B6" w:rsidRPr="000741B6" w:rsidTr="00602AEB">
              <w:trPr>
                <w:jc w:val="center"/>
              </w:trPr>
              <w:tc>
                <w:tcPr>
                  <w:tcW w:w="1563" w:type="dxa"/>
                  <w:shd w:val="clear" w:color="auto" w:fill="auto"/>
                </w:tcPr>
                <w:p w:rsidR="000741B6" w:rsidRPr="000741B6" w:rsidRDefault="000741B6" w:rsidP="000741B6">
                  <w:pPr>
                    <w:spacing w:after="120"/>
                    <w:rPr>
                      <w:color w:val="000000"/>
                    </w:rPr>
                  </w:pPr>
                  <w:r w:rsidRPr="000741B6">
                    <w:rPr>
                      <w:color w:val="000000"/>
                    </w:rPr>
                    <w:t xml:space="preserve">Salmonella phage </w:t>
                  </w:r>
                  <w:proofErr w:type="spellStart"/>
                  <w:r w:rsidRPr="000741B6">
                    <w:rPr>
                      <w:color w:val="000000"/>
                    </w:rPr>
                    <w:t>Solent</w:t>
                  </w:r>
                  <w:proofErr w:type="spellEnd"/>
                </w:p>
              </w:tc>
              <w:tc>
                <w:tcPr>
                  <w:tcW w:w="1503" w:type="dxa"/>
                  <w:vAlign w:val="center"/>
                </w:tcPr>
                <w:p w:rsidR="000741B6" w:rsidRPr="000741B6" w:rsidRDefault="000741B6" w:rsidP="000741B6">
                  <w:pPr>
                    <w:spacing w:after="120"/>
                    <w:rPr>
                      <w:color w:val="000000"/>
                    </w:rPr>
                  </w:pPr>
                  <w:r w:rsidRPr="000741B6">
                    <w:t>MH586730.1</w:t>
                  </w:r>
                </w:p>
              </w:tc>
              <w:tc>
                <w:tcPr>
                  <w:tcW w:w="1030" w:type="dxa"/>
                  <w:vAlign w:val="center"/>
                </w:tcPr>
                <w:p w:rsidR="000741B6" w:rsidRPr="000741B6" w:rsidRDefault="000741B6" w:rsidP="000741B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000000"/>
                      <w:lang w:bidi="fa-IR"/>
                    </w:rPr>
                  </w:pPr>
                  <w:r>
                    <w:t>55.98</w:t>
                  </w:r>
                </w:p>
              </w:tc>
              <w:tc>
                <w:tcPr>
                  <w:tcW w:w="2354" w:type="dxa"/>
                  <w:vAlign w:val="center"/>
                </w:tcPr>
                <w:p w:rsidR="000741B6" w:rsidRPr="000741B6" w:rsidRDefault="000741B6" w:rsidP="000741B6">
                  <w:pPr>
                    <w:spacing w:after="120"/>
                    <w:rPr>
                      <w:color w:val="000000"/>
                    </w:rPr>
                  </w:pPr>
                  <w:r>
                    <w:t>43.5</w:t>
                  </w:r>
                </w:p>
              </w:tc>
              <w:tc>
                <w:tcPr>
                  <w:tcW w:w="699" w:type="dxa"/>
                  <w:vAlign w:val="center"/>
                </w:tcPr>
                <w:p w:rsidR="000741B6" w:rsidRPr="000741B6" w:rsidRDefault="000741B6" w:rsidP="000741B6">
                  <w:pPr>
                    <w:spacing w:after="120"/>
                    <w:rPr>
                      <w:color w:val="000000"/>
                    </w:rPr>
                  </w:pPr>
                  <w:r>
                    <w:t>92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0741B6" w:rsidRPr="000741B6" w:rsidRDefault="000741B6" w:rsidP="000741B6">
                  <w:pPr>
                    <w:spacing w:after="1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607" w:type="dxa"/>
                  <w:shd w:val="clear" w:color="auto" w:fill="auto"/>
                </w:tcPr>
                <w:p w:rsidR="000741B6" w:rsidRPr="000741B6" w:rsidRDefault="00602AEB" w:rsidP="000741B6">
                  <w:pPr>
                    <w:spacing w:after="1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14.5</w:t>
                  </w:r>
                </w:p>
              </w:tc>
            </w:tr>
            <w:tr w:rsidR="00602AEB" w:rsidRPr="000741B6" w:rsidTr="00602AEB">
              <w:trPr>
                <w:jc w:val="center"/>
              </w:trPr>
              <w:tc>
                <w:tcPr>
                  <w:tcW w:w="1563" w:type="dxa"/>
                  <w:shd w:val="clear" w:color="auto" w:fill="auto"/>
                </w:tcPr>
                <w:p w:rsidR="00602AEB" w:rsidRPr="000741B6" w:rsidRDefault="00602AEB" w:rsidP="00602AEB">
                  <w:pPr>
                    <w:spacing w:after="1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Salmonella phage Sergei</w:t>
                  </w:r>
                </w:p>
              </w:tc>
              <w:tc>
                <w:tcPr>
                  <w:tcW w:w="1503" w:type="dxa"/>
                  <w:shd w:val="clear" w:color="auto" w:fill="auto"/>
                </w:tcPr>
                <w:p w:rsidR="00602AEB" w:rsidRPr="000741B6" w:rsidRDefault="00602AEB" w:rsidP="00602AEB">
                  <w:pPr>
                    <w:spacing w:after="120"/>
                    <w:rPr>
                      <w:color w:val="000000"/>
                    </w:rPr>
                  </w:pPr>
                  <w:r w:rsidRPr="000741B6">
                    <w:rPr>
                      <w:color w:val="000000"/>
                    </w:rPr>
                    <w:t>KY002061</w:t>
                  </w:r>
                </w:p>
              </w:tc>
              <w:tc>
                <w:tcPr>
                  <w:tcW w:w="1030" w:type="dxa"/>
                  <w:vAlign w:val="center"/>
                </w:tcPr>
                <w:p w:rsidR="00602AEB" w:rsidRPr="000741B6" w:rsidRDefault="00602AEB" w:rsidP="00602AE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000000"/>
                      <w:lang w:bidi="fa-IR"/>
                    </w:rPr>
                  </w:pPr>
                  <w:r>
                    <w:t>56.05</w:t>
                  </w:r>
                </w:p>
              </w:tc>
              <w:tc>
                <w:tcPr>
                  <w:tcW w:w="2354" w:type="dxa"/>
                  <w:vAlign w:val="center"/>
                </w:tcPr>
                <w:p w:rsidR="00602AEB" w:rsidRPr="000741B6" w:rsidRDefault="00602AEB" w:rsidP="00602AEB">
                  <w:pPr>
                    <w:spacing w:after="120"/>
                    <w:rPr>
                      <w:color w:val="000000"/>
                    </w:rPr>
                  </w:pPr>
                  <w:r>
                    <w:t>43.5</w:t>
                  </w:r>
                </w:p>
              </w:tc>
              <w:tc>
                <w:tcPr>
                  <w:tcW w:w="699" w:type="dxa"/>
                  <w:vAlign w:val="center"/>
                </w:tcPr>
                <w:p w:rsidR="00602AEB" w:rsidRPr="000741B6" w:rsidRDefault="00602AEB" w:rsidP="00602AEB">
                  <w:pPr>
                    <w:spacing w:after="120"/>
                    <w:rPr>
                      <w:color w:val="000000"/>
                    </w:rPr>
                  </w:pPr>
                  <w:r>
                    <w:t>91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602AEB" w:rsidRPr="000741B6" w:rsidRDefault="00602AEB" w:rsidP="00602AEB">
                  <w:pPr>
                    <w:spacing w:after="1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607" w:type="dxa"/>
                  <w:shd w:val="clear" w:color="auto" w:fill="auto"/>
                </w:tcPr>
                <w:p w:rsidR="00602AEB" w:rsidRPr="000741B6" w:rsidRDefault="00602AEB" w:rsidP="00602AEB">
                  <w:pPr>
                    <w:spacing w:after="1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14.5</w:t>
                  </w:r>
                </w:p>
              </w:tc>
            </w:tr>
            <w:tr w:rsidR="00602AEB" w:rsidRPr="000741B6" w:rsidTr="00602AEB">
              <w:trPr>
                <w:jc w:val="center"/>
              </w:trPr>
              <w:tc>
                <w:tcPr>
                  <w:tcW w:w="1563" w:type="dxa"/>
                  <w:shd w:val="clear" w:color="auto" w:fill="auto"/>
                </w:tcPr>
                <w:p w:rsidR="00602AEB" w:rsidRPr="000741B6" w:rsidRDefault="00602AEB" w:rsidP="00602AEB">
                  <w:pPr>
                    <w:spacing w:after="1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Salmonella phage Sasha</w:t>
                  </w:r>
                </w:p>
              </w:tc>
              <w:tc>
                <w:tcPr>
                  <w:tcW w:w="1503" w:type="dxa"/>
                  <w:shd w:val="clear" w:color="auto" w:fill="auto"/>
                </w:tcPr>
                <w:p w:rsidR="00602AEB" w:rsidRPr="000741B6" w:rsidRDefault="00602AEB" w:rsidP="00602AEB">
                  <w:pPr>
                    <w:spacing w:after="120"/>
                    <w:rPr>
                      <w:color w:val="000000"/>
                    </w:rPr>
                  </w:pPr>
                  <w:r w:rsidRPr="000741B6">
                    <w:rPr>
                      <w:color w:val="000000"/>
                    </w:rPr>
                    <w:t>KX987158</w:t>
                  </w:r>
                </w:p>
              </w:tc>
              <w:tc>
                <w:tcPr>
                  <w:tcW w:w="1030" w:type="dxa"/>
                  <w:vAlign w:val="center"/>
                </w:tcPr>
                <w:p w:rsidR="00602AEB" w:rsidRPr="000741B6" w:rsidRDefault="00602AEB" w:rsidP="00602AE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000000"/>
                      <w:lang w:bidi="fa-IR"/>
                    </w:rPr>
                  </w:pPr>
                  <w:r>
                    <w:t>53.26</w:t>
                  </w:r>
                </w:p>
              </w:tc>
              <w:tc>
                <w:tcPr>
                  <w:tcW w:w="2354" w:type="dxa"/>
                  <w:vAlign w:val="center"/>
                </w:tcPr>
                <w:p w:rsidR="00602AEB" w:rsidRPr="000741B6" w:rsidRDefault="00602AEB" w:rsidP="00602AEB">
                  <w:pPr>
                    <w:spacing w:after="120"/>
                    <w:rPr>
                      <w:color w:val="000000"/>
                    </w:rPr>
                  </w:pPr>
                  <w:r>
                    <w:t>43.7</w:t>
                  </w:r>
                </w:p>
              </w:tc>
              <w:tc>
                <w:tcPr>
                  <w:tcW w:w="699" w:type="dxa"/>
                  <w:vAlign w:val="center"/>
                </w:tcPr>
                <w:p w:rsidR="00602AEB" w:rsidRPr="000741B6" w:rsidRDefault="00602AEB" w:rsidP="00602AEB">
                  <w:pPr>
                    <w:spacing w:after="120"/>
                    <w:rPr>
                      <w:color w:val="000000"/>
                    </w:rPr>
                  </w:pPr>
                  <w:r>
                    <w:t>81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602AEB" w:rsidRPr="000741B6" w:rsidRDefault="00602AEB" w:rsidP="00602AEB">
                  <w:pPr>
                    <w:spacing w:after="1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607" w:type="dxa"/>
                  <w:shd w:val="clear" w:color="auto" w:fill="auto"/>
                </w:tcPr>
                <w:p w:rsidR="00602AEB" w:rsidRPr="000741B6" w:rsidRDefault="00602AEB" w:rsidP="00602AEB">
                  <w:pPr>
                    <w:spacing w:after="1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14.5</w:t>
                  </w:r>
                </w:p>
              </w:tc>
            </w:tr>
          </w:tbl>
          <w:p w:rsidR="00841293" w:rsidRPr="000741B6" w:rsidRDefault="00841293" w:rsidP="00E122BA">
            <w:pPr>
              <w:spacing w:after="120"/>
            </w:pPr>
            <w:r w:rsidRPr="000741B6">
              <w:t xml:space="preserve">* Determined using </w:t>
            </w:r>
            <w:proofErr w:type="spellStart"/>
            <w:r w:rsidRPr="000741B6">
              <w:t>BLASTn</w:t>
            </w:r>
            <w:proofErr w:type="spellEnd"/>
            <w:r w:rsidR="000741B6">
              <w:t xml:space="preserve"> at NCBI</w:t>
            </w:r>
          </w:p>
          <w:p w:rsidR="00841293" w:rsidRPr="000741B6" w:rsidRDefault="00841293" w:rsidP="00E122BA">
            <w:pPr>
              <w:spacing w:after="120"/>
              <w:rPr>
                <w:color w:val="808080"/>
              </w:rPr>
            </w:pPr>
          </w:p>
          <w:p w:rsidR="00841293" w:rsidRPr="000741B6" w:rsidRDefault="00BA66BE" w:rsidP="00E122BA">
            <w:pPr>
              <w:keepNext/>
              <w:spacing w:after="120"/>
            </w:pPr>
            <w:r w:rsidRPr="000741B6">
              <w:rPr>
                <w:b/>
                <w:noProof/>
                <w:color w:val="808080"/>
                <w:szCs w:val="20"/>
                <w:lang w:bidi="fa-IR"/>
              </w:rPr>
              <w:drawing>
                <wp:inline distT="0" distB="0" distL="0" distR="0">
                  <wp:extent cx="6007100" cy="3009900"/>
                  <wp:effectExtent l="0" t="0" r="0" b="0"/>
                  <wp:docPr id="1" name="Picture 1" descr="Fig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g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0" cy="300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293" w:rsidRPr="000741B6" w:rsidRDefault="00841293" w:rsidP="00E122BA">
            <w:pPr>
              <w:pStyle w:val="Caption"/>
              <w:spacing w:line="276" w:lineRule="auto"/>
              <w:jc w:val="lowKashida"/>
              <w:rPr>
                <w:b w:val="0"/>
                <w:bCs w:val="0"/>
                <w:color w:val="808080"/>
                <w:sz w:val="24"/>
                <w:szCs w:val="24"/>
              </w:rPr>
            </w:pPr>
            <w:r w:rsidRPr="000741B6">
              <w:rPr>
                <w:sz w:val="24"/>
                <w:szCs w:val="24"/>
              </w:rPr>
              <w:t xml:space="preserve">Fig. </w:t>
            </w:r>
            <w:r w:rsidR="00350B6E" w:rsidRPr="000741B6">
              <w:rPr>
                <w:sz w:val="24"/>
                <w:szCs w:val="24"/>
              </w:rPr>
              <w:fldChar w:fldCharType="begin"/>
            </w:r>
            <w:r w:rsidRPr="000741B6">
              <w:rPr>
                <w:sz w:val="24"/>
                <w:szCs w:val="24"/>
              </w:rPr>
              <w:instrText xml:space="preserve"> SEQ Figure \* ARABIC </w:instrText>
            </w:r>
            <w:r w:rsidR="00350B6E" w:rsidRPr="000741B6">
              <w:rPr>
                <w:sz w:val="24"/>
                <w:szCs w:val="24"/>
              </w:rPr>
              <w:fldChar w:fldCharType="separate"/>
            </w:r>
            <w:r w:rsidRPr="000741B6">
              <w:rPr>
                <w:noProof/>
                <w:sz w:val="24"/>
                <w:szCs w:val="24"/>
              </w:rPr>
              <w:t>1</w:t>
            </w:r>
            <w:r w:rsidR="00350B6E" w:rsidRPr="000741B6">
              <w:rPr>
                <w:sz w:val="24"/>
                <w:szCs w:val="24"/>
              </w:rPr>
              <w:fldChar w:fldCharType="end"/>
            </w:r>
            <w:r w:rsidRPr="000741B6">
              <w:rPr>
                <w:sz w:val="24"/>
                <w:szCs w:val="24"/>
              </w:rPr>
              <w:t>.</w:t>
            </w:r>
            <w:r w:rsidRPr="000741B6">
              <w:rPr>
                <w:b w:val="0"/>
                <w:bCs w:val="0"/>
                <w:sz w:val="24"/>
                <w:szCs w:val="24"/>
              </w:rPr>
              <w:t xml:space="preserve"> Mauve alignment of the annotated complete genomes of Proteus phage vB_PmiS-Isfahan with Salmonella phage 9NA, Salmonella phage FSL SP-062, and Salmonella phage </w:t>
            </w:r>
            <w:proofErr w:type="spellStart"/>
            <w:r w:rsidRPr="000741B6">
              <w:rPr>
                <w:b w:val="0"/>
                <w:bCs w:val="0"/>
                <w:sz w:val="24"/>
                <w:szCs w:val="24"/>
              </w:rPr>
              <w:t>vB_SenS_Sasha</w:t>
            </w:r>
            <w:proofErr w:type="spellEnd"/>
            <w:r w:rsidRPr="000741B6">
              <w:rPr>
                <w:b w:val="0"/>
                <w:bCs w:val="0"/>
                <w:sz w:val="24"/>
                <w:szCs w:val="24"/>
              </w:rPr>
              <w:t xml:space="preserve"> (from top to bottom). The degree of sequence similarity between regions is given by a similarity plot within the colored blocks with the height of the plot proportional to the average nucleotide identity.</w:t>
            </w:r>
          </w:p>
          <w:p w:rsidR="00841293" w:rsidRDefault="00841293" w:rsidP="00E122BA">
            <w:pPr>
              <w:pStyle w:val="Caption"/>
              <w:keepNext/>
              <w:spacing w:line="276" w:lineRule="auto"/>
              <w:jc w:val="lowKashida"/>
              <w:rPr>
                <w:sz w:val="24"/>
                <w:szCs w:val="24"/>
              </w:rPr>
            </w:pPr>
          </w:p>
          <w:p w:rsidR="00602AEB" w:rsidRDefault="00602AEB" w:rsidP="00602AEB"/>
          <w:p w:rsidR="00602AEB" w:rsidRDefault="00602AEB" w:rsidP="00602AEB"/>
          <w:p w:rsidR="00602AEB" w:rsidRDefault="00602AEB" w:rsidP="00602AEB"/>
          <w:p w:rsidR="00602AEB" w:rsidRDefault="00602AEB" w:rsidP="00602AEB"/>
          <w:p w:rsidR="00602AEB" w:rsidRDefault="00602AEB" w:rsidP="00602AEB"/>
          <w:p w:rsidR="00602AEB" w:rsidRDefault="00602AEB" w:rsidP="00602AEB"/>
          <w:p w:rsidR="00602AEB" w:rsidRDefault="00602AEB" w:rsidP="00602AEB"/>
          <w:p w:rsidR="00602AEB" w:rsidRPr="00602AEB" w:rsidRDefault="00602AEB" w:rsidP="00602AEB"/>
          <w:p w:rsidR="00841293" w:rsidRPr="000741B6" w:rsidRDefault="00841293" w:rsidP="00E122BA">
            <w:pPr>
              <w:pStyle w:val="Caption"/>
              <w:keepNext/>
              <w:spacing w:line="276" w:lineRule="auto"/>
              <w:jc w:val="lowKashida"/>
              <w:rPr>
                <w:sz w:val="24"/>
                <w:szCs w:val="24"/>
              </w:rPr>
            </w:pPr>
          </w:p>
          <w:p w:rsidR="00841293" w:rsidRPr="000741B6" w:rsidRDefault="00841293" w:rsidP="00E122B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lang w:bidi="fa-IR"/>
              </w:rPr>
            </w:pPr>
            <w:r w:rsidRPr="000741B6">
              <w:rPr>
                <w:b/>
                <w:bCs/>
                <w:color w:val="000000"/>
                <w:lang w:bidi="fa-IR"/>
              </w:rPr>
              <w:lastRenderedPageBreak/>
              <w:t xml:space="preserve">Major capsid proteins </w:t>
            </w:r>
          </w:p>
          <w:p w:rsidR="00841293" w:rsidRPr="000741B6" w:rsidRDefault="00E25FF7" w:rsidP="00E122BA">
            <w:pPr>
              <w:autoSpaceDE w:val="0"/>
              <w:autoSpaceDN w:val="0"/>
              <w:adjustRightInd w:val="0"/>
              <w:ind w:left="720"/>
              <w:rPr>
                <w:color w:val="000000"/>
                <w:lang w:bidi="fa-IR"/>
              </w:rPr>
            </w:pPr>
            <w:r>
              <w:rPr>
                <w:noProof/>
              </w:rPr>
              <w:pict w14:anchorId="2976C2D0">
                <v:rect id="Rectangle 18" o:spid="_x0000_s1028" style="position:absolute;left:0;text-align:left;margin-left:169.7pt;margin-top:12.8pt;width:247.8pt;height:1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" filled="f" strokecolor="red"/>
              </w:pict>
            </w:r>
          </w:p>
          <w:p w:rsidR="00841293" w:rsidRPr="000741B6" w:rsidRDefault="00BA66BE" w:rsidP="00E122BA">
            <w:pPr>
              <w:keepNext/>
              <w:spacing w:after="120"/>
              <w:rPr>
                <w:color w:val="000000"/>
                <w:lang w:bidi="fa-IR"/>
              </w:rPr>
            </w:pPr>
            <w:r w:rsidRPr="000741B6">
              <w:rPr>
                <w:noProof/>
                <w:color w:val="000000"/>
                <w:lang w:bidi="fa-IR"/>
              </w:rPr>
              <w:drawing>
                <wp:inline distT="0" distB="0" distL="0" distR="0">
                  <wp:extent cx="6229350" cy="1168400"/>
                  <wp:effectExtent l="0" t="0" r="0" b="0"/>
                  <wp:docPr id="2" name="Picture 2" descr="new mahs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 mahs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293" w:rsidRPr="001E492D" w:rsidTr="00E122BA">
        <w:tc>
          <w:tcPr>
            <w:tcW w:w="10007" w:type="dxa"/>
          </w:tcPr>
          <w:p w:rsidR="00841293" w:rsidRDefault="00841293" w:rsidP="00E122BA">
            <w:pPr>
              <w:numPr>
                <w:ilvl w:val="0"/>
                <w:numId w:val="25"/>
              </w:numPr>
              <w:spacing w:after="120"/>
              <w:rPr>
                <w:b/>
                <w:bCs/>
                <w:color w:val="000000"/>
                <w:lang w:bidi="fa-IR"/>
              </w:rPr>
            </w:pPr>
            <w:r w:rsidRPr="001B0B53">
              <w:rPr>
                <w:b/>
                <w:bCs/>
                <w:color w:val="000000"/>
                <w:lang w:bidi="fa-IR"/>
              </w:rPr>
              <w:lastRenderedPageBreak/>
              <w:t xml:space="preserve">Terminase, large subunit </w:t>
            </w:r>
          </w:p>
          <w:p w:rsidR="00841293" w:rsidRDefault="00841293" w:rsidP="00E122BA">
            <w:pPr>
              <w:spacing w:after="120"/>
              <w:ind w:left="72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:rsidR="00841293" w:rsidRDefault="00E25FF7" w:rsidP="00841293">
      <w:pPr>
        <w:pStyle w:val="Caption"/>
        <w:keepNext/>
        <w:spacing w:line="276" w:lineRule="auto"/>
        <w:jc w:val="lowKashida"/>
        <w:rPr>
          <w:b w:val="0"/>
          <w:bCs w:val="0"/>
          <w:sz w:val="24"/>
          <w:szCs w:val="24"/>
        </w:rPr>
      </w:pPr>
      <w:r>
        <w:rPr>
          <w:noProof/>
        </w:rPr>
        <w:pict w14:anchorId="3A0C1A9D">
          <v:rect id="Rectangle 19" o:spid="_x0000_s1027" style="position:absolute;left:0;text-align:left;margin-left:54pt;margin-top:11.45pt;width:246.6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" filled="f" strokecolor="red"/>
        </w:pict>
      </w:r>
      <w:r w:rsidR="00BA66BE">
        <w:rPr>
          <w:noProof/>
          <w:sz w:val="24"/>
          <w:szCs w:val="24"/>
          <w:lang w:bidi="fa-IR"/>
        </w:rPr>
        <w:drawing>
          <wp:inline distT="0" distB="0" distL="0" distR="0">
            <wp:extent cx="6502400" cy="1130300"/>
            <wp:effectExtent l="0" t="0" r="0" b="0"/>
            <wp:docPr id="3" name="Picture 3" descr="new mah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mahs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1293" w:rsidRPr="001B0B53">
        <w:rPr>
          <w:sz w:val="24"/>
          <w:szCs w:val="24"/>
        </w:rPr>
        <w:t xml:space="preserve">Fig. </w:t>
      </w:r>
      <w:r w:rsidR="00350B6E">
        <w:rPr>
          <w:sz w:val="24"/>
          <w:szCs w:val="24"/>
        </w:rPr>
        <w:fldChar w:fldCharType="begin"/>
      </w:r>
      <w:r w:rsidR="00841293">
        <w:rPr>
          <w:sz w:val="24"/>
          <w:szCs w:val="24"/>
        </w:rPr>
        <w:instrText xml:space="preserve"> SEQ Figure \* ARABIC </w:instrText>
      </w:r>
      <w:r w:rsidR="00350B6E">
        <w:rPr>
          <w:sz w:val="24"/>
          <w:szCs w:val="24"/>
        </w:rPr>
        <w:fldChar w:fldCharType="separate"/>
      </w:r>
      <w:r w:rsidR="00841293">
        <w:rPr>
          <w:noProof/>
          <w:sz w:val="24"/>
          <w:szCs w:val="24"/>
        </w:rPr>
        <w:t>2</w:t>
      </w:r>
      <w:r w:rsidR="00350B6E">
        <w:rPr>
          <w:sz w:val="24"/>
          <w:szCs w:val="24"/>
        </w:rPr>
        <w:fldChar w:fldCharType="end"/>
      </w:r>
      <w:r w:rsidR="00841293" w:rsidRPr="001B0B53">
        <w:rPr>
          <w:noProof/>
          <w:sz w:val="24"/>
          <w:szCs w:val="24"/>
        </w:rPr>
        <w:t>.</w:t>
      </w:r>
      <w:r w:rsidR="00841293" w:rsidRPr="001B0B53">
        <w:rPr>
          <w:sz w:val="24"/>
          <w:szCs w:val="24"/>
        </w:rPr>
        <w:t xml:space="preserve"> </w:t>
      </w:r>
      <w:r w:rsidR="00841293" w:rsidRPr="001B0B53">
        <w:rPr>
          <w:b w:val="0"/>
          <w:bCs w:val="0"/>
          <w:sz w:val="24"/>
          <w:szCs w:val="24"/>
        </w:rPr>
        <w:t>Phylogenetic analysis of (A) major capsid proteins (B) and large subunit terminase proteins of Proteus phage vB_PmiS-</w:t>
      </w:r>
      <w:r w:rsidR="00841293">
        <w:rPr>
          <w:b w:val="0"/>
          <w:bCs w:val="0"/>
          <w:sz w:val="24"/>
          <w:szCs w:val="24"/>
        </w:rPr>
        <w:t>Isfahan</w:t>
      </w:r>
      <w:r w:rsidR="00841293" w:rsidRPr="001B0B53">
        <w:rPr>
          <w:b w:val="0"/>
          <w:bCs w:val="0"/>
          <w:sz w:val="24"/>
          <w:szCs w:val="24"/>
        </w:rPr>
        <w:t xml:space="preserve"> and a variety </w:t>
      </w:r>
      <w:r w:rsidR="00841293" w:rsidRPr="002F49FF">
        <w:rPr>
          <w:b w:val="0"/>
          <w:bCs w:val="0"/>
          <w:sz w:val="24"/>
          <w:szCs w:val="24"/>
        </w:rPr>
        <w:t xml:space="preserve">of other </w:t>
      </w:r>
      <w:proofErr w:type="spellStart"/>
      <w:r w:rsidR="00841293" w:rsidRPr="002F49FF">
        <w:rPr>
          <w:b w:val="0"/>
          <w:bCs w:val="0"/>
          <w:sz w:val="24"/>
          <w:szCs w:val="24"/>
        </w:rPr>
        <w:t>siphovirus</w:t>
      </w:r>
      <w:proofErr w:type="spellEnd"/>
      <w:r w:rsidR="00841293" w:rsidRPr="002F49FF">
        <w:rPr>
          <w:b w:val="0"/>
          <w:bCs w:val="0"/>
          <w:sz w:val="24"/>
          <w:szCs w:val="24"/>
        </w:rPr>
        <w:t xml:space="preserve"> proteins constructed using “one click” at phylogeny.fr (3). "The "One Click mode" is for the users that do not </w:t>
      </w:r>
      <w:r w:rsidR="00841293">
        <w:rPr>
          <w:b w:val="0"/>
          <w:bCs w:val="0"/>
          <w:sz w:val="24"/>
          <w:szCs w:val="24"/>
        </w:rPr>
        <w:t xml:space="preserve">like to </w:t>
      </w:r>
      <w:r w:rsidR="00841293" w:rsidRPr="002F49FF">
        <w:rPr>
          <w:b w:val="0"/>
          <w:bCs w:val="0"/>
          <w:sz w:val="24"/>
          <w:szCs w:val="24"/>
        </w:rPr>
        <w:t>deal with program and parameter selection</w:t>
      </w:r>
      <w:r w:rsidR="00841293" w:rsidRPr="00101ED2">
        <w:rPr>
          <w:b w:val="0"/>
          <w:bCs w:val="0"/>
          <w:sz w:val="24"/>
          <w:szCs w:val="24"/>
        </w:rPr>
        <w:t xml:space="preserve">. It is a "default" mode which proposes a pipeline already set up to run and connect programs recognized for their accuracy and speed (MUSCLE for multiple alignment and </w:t>
      </w:r>
      <w:proofErr w:type="spellStart"/>
      <w:r w:rsidR="00841293" w:rsidRPr="00101ED2">
        <w:rPr>
          <w:b w:val="0"/>
          <w:bCs w:val="0"/>
          <w:sz w:val="24"/>
          <w:szCs w:val="24"/>
        </w:rPr>
        <w:t>PhyML</w:t>
      </w:r>
      <w:proofErr w:type="spellEnd"/>
      <w:r w:rsidR="00841293" w:rsidRPr="00101ED2">
        <w:rPr>
          <w:b w:val="0"/>
          <w:bCs w:val="0"/>
          <w:sz w:val="24"/>
          <w:szCs w:val="24"/>
        </w:rPr>
        <w:t xml:space="preserve"> for phylogeny) to reconstruct a robust phylogenetic tree from a set</w:t>
      </w:r>
      <w:r w:rsidR="00841293" w:rsidRPr="002F49FF">
        <w:rPr>
          <w:b w:val="0"/>
          <w:bCs w:val="0"/>
          <w:sz w:val="24"/>
          <w:szCs w:val="24"/>
        </w:rPr>
        <w:t xml:space="preserve"> of sequences. It also includes the use of </w:t>
      </w:r>
      <w:proofErr w:type="spellStart"/>
      <w:r w:rsidR="00841293" w:rsidRPr="002F49FF">
        <w:rPr>
          <w:b w:val="0"/>
          <w:bCs w:val="0"/>
          <w:sz w:val="24"/>
          <w:szCs w:val="24"/>
        </w:rPr>
        <w:t>Gblocks</w:t>
      </w:r>
      <w:proofErr w:type="spellEnd"/>
      <w:r w:rsidR="00841293" w:rsidRPr="002F49FF">
        <w:rPr>
          <w:b w:val="0"/>
          <w:bCs w:val="0"/>
          <w:sz w:val="24"/>
          <w:szCs w:val="24"/>
        </w:rPr>
        <w:t xml:space="preserve"> to eliminate poorly aligned positions and divergent regions. "The usual bootstrapping procedure is replaced by a new confidence index that is much faster to compute. See: "Anisimova M., </w:t>
      </w:r>
      <w:proofErr w:type="spellStart"/>
      <w:r w:rsidR="00841293" w:rsidRPr="002F49FF">
        <w:rPr>
          <w:b w:val="0"/>
          <w:bCs w:val="0"/>
          <w:sz w:val="24"/>
          <w:szCs w:val="24"/>
        </w:rPr>
        <w:t>Gascuel</w:t>
      </w:r>
      <w:proofErr w:type="spellEnd"/>
      <w:r w:rsidR="00841293" w:rsidRPr="002F49FF">
        <w:rPr>
          <w:b w:val="0"/>
          <w:bCs w:val="0"/>
          <w:sz w:val="24"/>
          <w:szCs w:val="24"/>
        </w:rPr>
        <w:t xml:space="preserve"> O. Approximate likelihood ratio test for branches: A fast, accurate and powerful alternative (</w:t>
      </w:r>
      <w:proofErr w:type="spellStart"/>
      <w:r w:rsidR="00841293" w:rsidRPr="002F49FF">
        <w:rPr>
          <w:b w:val="0"/>
          <w:bCs w:val="0"/>
          <w:sz w:val="24"/>
          <w:szCs w:val="24"/>
        </w:rPr>
        <w:t>Syst</w:t>
      </w:r>
      <w:proofErr w:type="spellEnd"/>
      <w:r w:rsidR="00841293" w:rsidRPr="002F49FF">
        <w:rPr>
          <w:b w:val="0"/>
          <w:bCs w:val="0"/>
          <w:sz w:val="24"/>
          <w:szCs w:val="24"/>
        </w:rPr>
        <w:t xml:space="preserve"> Biol. 2006; 55(4):539-52)" for more details.</w:t>
      </w:r>
    </w:p>
    <w:p w:rsidR="00841293" w:rsidRDefault="00841293" w:rsidP="00841293"/>
    <w:p w:rsidR="00841293" w:rsidRPr="00061EEC" w:rsidRDefault="00841293" w:rsidP="00841293"/>
    <w:p w:rsidR="00841293" w:rsidRDefault="00841293" w:rsidP="00841293">
      <w:pPr>
        <w:pStyle w:val="Caption"/>
        <w:keepNext/>
        <w:ind w:left="567" w:hanging="720"/>
        <w:jc w:val="center"/>
        <w:rPr>
          <w:sz w:val="24"/>
          <w:szCs w:val="24"/>
        </w:rPr>
      </w:pPr>
    </w:p>
    <w:p w:rsidR="00841293" w:rsidRPr="001B0B53" w:rsidRDefault="00841293" w:rsidP="00841293"/>
    <w:p w:rsidR="00841293" w:rsidRDefault="00BA66BE" w:rsidP="00841293">
      <w:pPr>
        <w:keepNext/>
        <w:jc w:val="center"/>
      </w:pPr>
      <w:r>
        <w:rPr>
          <w:b/>
          <w:noProof/>
          <w:color w:val="808080"/>
          <w:szCs w:val="20"/>
          <w:lang w:bidi="fa-IR"/>
        </w:rPr>
        <w:lastRenderedPageBreak/>
        <w:drawing>
          <wp:inline distT="0" distB="0" distL="0" distR="0">
            <wp:extent cx="2616200" cy="2959100"/>
            <wp:effectExtent l="0" t="0" r="0" b="0"/>
            <wp:docPr id="4" name="Picture 3" descr="Fig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.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293" w:rsidRDefault="00841293" w:rsidP="00841293">
      <w:pPr>
        <w:pStyle w:val="Caption"/>
        <w:keepNext/>
        <w:ind w:left="567" w:hanging="720"/>
        <w:jc w:val="center"/>
        <w:rPr>
          <w:sz w:val="24"/>
          <w:szCs w:val="24"/>
        </w:rPr>
      </w:pPr>
    </w:p>
    <w:p w:rsidR="00841293" w:rsidRPr="001B0B53" w:rsidRDefault="00841293" w:rsidP="00841293">
      <w:pPr>
        <w:pStyle w:val="Caption"/>
        <w:keepNext/>
        <w:ind w:left="567" w:hanging="720"/>
        <w:jc w:val="center"/>
        <w:rPr>
          <w:sz w:val="24"/>
          <w:szCs w:val="24"/>
        </w:rPr>
      </w:pPr>
      <w:r w:rsidRPr="001B0B53">
        <w:rPr>
          <w:sz w:val="24"/>
          <w:szCs w:val="24"/>
        </w:rPr>
        <w:t xml:space="preserve">Fig. </w:t>
      </w:r>
      <w:r w:rsidR="00350B6E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Figure \* ARABIC </w:instrText>
      </w:r>
      <w:r w:rsidR="00350B6E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3</w:t>
      </w:r>
      <w:r w:rsidR="00350B6E">
        <w:rPr>
          <w:sz w:val="24"/>
          <w:szCs w:val="24"/>
        </w:rPr>
        <w:fldChar w:fldCharType="end"/>
      </w:r>
      <w:r w:rsidRPr="001B0B53">
        <w:rPr>
          <w:noProof/>
          <w:sz w:val="24"/>
          <w:szCs w:val="24"/>
        </w:rPr>
        <w:t>.</w:t>
      </w:r>
      <w:r w:rsidRPr="001B0B53">
        <w:rPr>
          <w:sz w:val="24"/>
          <w:szCs w:val="24"/>
        </w:rPr>
        <w:t xml:space="preserve"> </w:t>
      </w:r>
      <w:r w:rsidRPr="001B0B53">
        <w:rPr>
          <w:b w:val="0"/>
          <w:bCs w:val="0"/>
          <w:sz w:val="24"/>
          <w:szCs w:val="24"/>
        </w:rPr>
        <w:t xml:space="preserve">Electron micrograph of negatively stained (2% uranyl acetate) </w:t>
      </w:r>
      <w:r w:rsidRPr="0017143A">
        <w:rPr>
          <w:b w:val="0"/>
          <w:bCs w:val="0"/>
          <w:i/>
          <w:iCs/>
          <w:sz w:val="24"/>
          <w:szCs w:val="24"/>
        </w:rPr>
        <w:t>Proteus</w:t>
      </w:r>
      <w:r w:rsidRPr="001B0B53">
        <w:rPr>
          <w:b w:val="0"/>
          <w:bCs w:val="0"/>
          <w:sz w:val="24"/>
          <w:szCs w:val="24"/>
        </w:rPr>
        <w:t xml:space="preserve"> phage vB_PmiS-</w:t>
      </w:r>
      <w:r>
        <w:rPr>
          <w:b w:val="0"/>
          <w:bCs w:val="0"/>
          <w:sz w:val="24"/>
          <w:szCs w:val="24"/>
        </w:rPr>
        <w:t>Isfahan</w:t>
      </w:r>
    </w:p>
    <w:p w:rsidR="00841293" w:rsidRDefault="00841293" w:rsidP="00841293">
      <w:pPr>
        <w:pStyle w:val="Caption"/>
      </w:pPr>
    </w:p>
    <w:p w:rsidR="00AA601F" w:rsidRDefault="00841293" w:rsidP="00841293">
      <w:pPr>
        <w:rPr>
          <w:lang w:val="en-GB"/>
        </w:rPr>
      </w:pPr>
      <w:r>
        <w:br w:type="page"/>
      </w:r>
    </w:p>
    <w:p w:rsidR="00AA601F" w:rsidRDefault="00AA601F" w:rsidP="00AC0E72">
      <w:pPr>
        <w:rPr>
          <w:lang w:val="en-GB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A601F" w:rsidRPr="001E492D" w:rsidTr="00A01958">
        <w:trPr>
          <w:tblHeader/>
        </w:trPr>
        <w:tc>
          <w:tcPr>
            <w:tcW w:w="9228" w:type="dxa"/>
          </w:tcPr>
          <w:p w:rsidR="00AA601F" w:rsidRPr="009320C8" w:rsidRDefault="00AA601F" w:rsidP="00A01958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References:</w:t>
            </w:r>
          </w:p>
        </w:tc>
      </w:tr>
      <w:tr w:rsidR="00AA601F" w:rsidRPr="00C61931" w:rsidTr="00A01958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01F" w:rsidRDefault="00AA601F" w:rsidP="00A01958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</w:p>
          <w:p w:rsidR="00841293" w:rsidRPr="00A67C5A" w:rsidRDefault="00350B6E" w:rsidP="00841293">
            <w:pPr>
              <w:pStyle w:val="EndNoteBibliography"/>
              <w:rPr>
                <w:rFonts w:cs="Times"/>
                <w:lang w:bidi="ar-SA"/>
              </w:rPr>
            </w:pPr>
            <w:r w:rsidRPr="00A67C5A">
              <w:rPr>
                <w:rFonts w:ascii="Times New Roman" w:hAnsi="Times New Roman" w:cs="Times"/>
                <w:color w:val="000000"/>
                <w:sz w:val="22"/>
                <w:szCs w:val="22"/>
                <w:lang w:bidi="ar-SA"/>
              </w:rPr>
              <w:fldChar w:fldCharType="begin"/>
            </w:r>
            <w:r w:rsidR="00841293" w:rsidRPr="00A67C5A">
              <w:rPr>
                <w:rFonts w:ascii="Times New Roman" w:hAnsi="Times New Roman" w:cs="Times"/>
                <w:color w:val="000000"/>
                <w:sz w:val="22"/>
                <w:szCs w:val="22"/>
                <w:lang w:bidi="ar-SA"/>
              </w:rPr>
              <w:instrText xml:space="preserve"> ADDIN EN.REFLIST </w:instrText>
            </w:r>
            <w:r w:rsidRPr="00A67C5A">
              <w:rPr>
                <w:rFonts w:ascii="Times New Roman" w:hAnsi="Times New Roman" w:cs="Times"/>
                <w:color w:val="000000"/>
                <w:sz w:val="22"/>
                <w:szCs w:val="22"/>
                <w:lang w:bidi="ar-SA"/>
              </w:rPr>
              <w:fldChar w:fldCharType="separate"/>
            </w:r>
            <w:bookmarkStart w:id="5" w:name="_ENREF_1"/>
            <w:r w:rsidR="00841293" w:rsidRPr="00A67C5A">
              <w:rPr>
                <w:rFonts w:cs="Times"/>
                <w:lang w:bidi="ar-SA"/>
              </w:rPr>
              <w:t>1.</w:t>
            </w:r>
            <w:r w:rsidR="00841293" w:rsidRPr="00A67C5A">
              <w:rPr>
                <w:rFonts w:cs="Times"/>
                <w:lang w:bidi="ar-SA"/>
              </w:rPr>
              <w:tab/>
              <w:t>Altschul SF, Gish W, Miller W, Myers EW, Lipman DJ. Basic local alignment search tool. Journal of Molecular Biology. 1990;215(3):403-10.</w:t>
            </w:r>
            <w:bookmarkEnd w:id="5"/>
          </w:p>
          <w:p w:rsidR="00841293" w:rsidRPr="00A67C5A" w:rsidRDefault="00841293" w:rsidP="00841293">
            <w:pPr>
              <w:pStyle w:val="EndNoteBibliography"/>
              <w:rPr>
                <w:rFonts w:cs="Times"/>
                <w:lang w:bidi="ar-SA"/>
              </w:rPr>
            </w:pPr>
            <w:bookmarkStart w:id="6" w:name="_ENREF_2"/>
            <w:r w:rsidRPr="00A67C5A">
              <w:rPr>
                <w:rFonts w:cs="Times"/>
                <w:lang w:bidi="ar-SA"/>
              </w:rPr>
              <w:t>2.</w:t>
            </w:r>
            <w:r w:rsidRPr="00A67C5A">
              <w:rPr>
                <w:rFonts w:cs="Times"/>
                <w:lang w:bidi="ar-SA"/>
              </w:rPr>
              <w:tab/>
              <w:t>Darling AC, Mau B, Blattner FR, Perna NT. Mauve: multiple alignment of conserved genomic sequence with rearrangements. Genome Research. 2004;14(7):1394-403.</w:t>
            </w:r>
            <w:bookmarkEnd w:id="6"/>
          </w:p>
          <w:p w:rsidR="00841293" w:rsidRPr="00A67C5A" w:rsidRDefault="00841293" w:rsidP="00841293">
            <w:pPr>
              <w:pStyle w:val="EndNoteBibliography"/>
              <w:rPr>
                <w:rFonts w:cs="Times"/>
                <w:lang w:bidi="ar-SA"/>
              </w:rPr>
            </w:pPr>
            <w:bookmarkStart w:id="7" w:name="_ENREF_3"/>
            <w:r w:rsidRPr="00A67C5A">
              <w:rPr>
                <w:rFonts w:cs="Times"/>
                <w:lang w:bidi="ar-SA"/>
              </w:rPr>
              <w:t>3.</w:t>
            </w:r>
            <w:r w:rsidRPr="00A67C5A">
              <w:rPr>
                <w:rFonts w:cs="Times"/>
                <w:lang w:bidi="ar-SA"/>
              </w:rPr>
              <w:tab/>
              <w:t>Dereeper A, Guignon V, Blanc G, Audic S, Buffet S, Chevenet F, et al. Phylogeny. fr: robust phylogenetic analysis for the non-specialist. Nucleic Acids Research. 2008;36(suppl_2):W465-W9.</w:t>
            </w:r>
            <w:bookmarkEnd w:id="7"/>
          </w:p>
          <w:p w:rsidR="00AA601F" w:rsidRPr="00C61931" w:rsidRDefault="00350B6E" w:rsidP="00841293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A67C5A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8E736E" w:rsidRDefault="008E736E" w:rsidP="00AC0E72">
      <w:pPr>
        <w:rPr>
          <w:lang w:val="en-GB"/>
        </w:rPr>
      </w:pPr>
    </w:p>
    <w:p w:rsidR="00CE0DE4" w:rsidRPr="00991A82" w:rsidRDefault="00E25FF7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  <w:r>
        <w:rPr>
          <w:noProof/>
        </w:rPr>
        <w:pict w14:anchorId="312E540F">
          <v:line id="Line 14" o:spid="_x0000_s1026" style="position:absolute;z-index:25165619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15.5pt" to="441pt,1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" strokecolor="navy" strokeweight="2pt"/>
        </w:pict>
      </w:r>
    </w:p>
    <w:sectPr w:rsidR="00CE0DE4" w:rsidRPr="00991A82" w:rsidSect="00991A82">
      <w:headerReference w:type="default" r:id="rId14"/>
      <w:footerReference w:type="default" r:id="rId15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FF7" w:rsidRDefault="00E25FF7">
      <w:pPr>
        <w:pStyle w:val="Header"/>
        <w:pPrChange w:id="2" w:author=" King" w:date="2007-11-09T06:47:00Z">
          <w:pPr/>
        </w:pPrChange>
      </w:pPr>
      <w:r>
        <w:separator/>
      </w:r>
    </w:p>
  </w:endnote>
  <w:endnote w:type="continuationSeparator" w:id="0">
    <w:p w:rsidR="00E25FF7" w:rsidRDefault="00E25FF7">
      <w:pPr>
        <w:pStyle w:val="Header"/>
        <w:pPrChange w:id="3" w:author=" King" w:date="2007-11-09T06:47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EFE" w:rsidRPr="002E52B9" w:rsidRDefault="00530EFE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="00350B6E"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="00350B6E" w:rsidRPr="00AA3952">
      <w:rPr>
        <w:rFonts w:ascii="Arial" w:hAnsi="Arial" w:cs="Arial"/>
        <w:color w:val="808080"/>
        <w:sz w:val="20"/>
      </w:rPr>
      <w:fldChar w:fldCharType="separate"/>
    </w:r>
    <w:r w:rsidR="00376446">
      <w:rPr>
        <w:rFonts w:ascii="Arial" w:hAnsi="Arial" w:cs="Arial"/>
        <w:noProof/>
        <w:color w:val="808080"/>
        <w:sz w:val="20"/>
      </w:rPr>
      <w:t>1</w:t>
    </w:r>
    <w:r w:rsidR="00350B6E"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="00350B6E"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="00350B6E" w:rsidRPr="00AA3952">
      <w:rPr>
        <w:rFonts w:ascii="Arial" w:hAnsi="Arial" w:cs="Arial"/>
        <w:color w:val="808080"/>
        <w:sz w:val="20"/>
      </w:rPr>
      <w:fldChar w:fldCharType="separate"/>
    </w:r>
    <w:r w:rsidR="00376446">
      <w:rPr>
        <w:rFonts w:ascii="Arial" w:hAnsi="Arial" w:cs="Arial"/>
        <w:noProof/>
        <w:color w:val="808080"/>
        <w:sz w:val="20"/>
      </w:rPr>
      <w:t>6</w:t>
    </w:r>
    <w:r w:rsidR="00350B6E"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FF7" w:rsidRDefault="00E25FF7">
      <w:pPr>
        <w:pStyle w:val="Header"/>
        <w:pPrChange w:id="0" w:author=" King" w:date="2007-11-09T06:47:00Z">
          <w:pPr/>
        </w:pPrChange>
      </w:pPr>
      <w:r>
        <w:separator/>
      </w:r>
    </w:p>
  </w:footnote>
  <w:footnote w:type="continuationSeparator" w:id="0">
    <w:p w:rsidR="00E25FF7" w:rsidRDefault="00E25FF7">
      <w:pPr>
        <w:pStyle w:val="Header"/>
        <w:pPrChange w:id="1" w:author=" King" w:date="2007-11-09T06:47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C07" w:rsidRPr="00F369A4" w:rsidRDefault="00DC2ACB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February </w:t>
    </w:r>
    <w:r w:rsidR="007E6C07"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A439B"/>
    <w:multiLevelType w:val="hybridMultilevel"/>
    <w:tmpl w:val="6876CE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6"/>
  </w:num>
  <w:num w:numId="5">
    <w:abstractNumId w:val="19"/>
  </w:num>
  <w:num w:numId="6">
    <w:abstractNumId w:val="7"/>
  </w:num>
  <w:num w:numId="7">
    <w:abstractNumId w:val="12"/>
  </w:num>
  <w:num w:numId="8">
    <w:abstractNumId w:val="14"/>
  </w:num>
  <w:num w:numId="9">
    <w:abstractNumId w:val="1"/>
  </w:num>
  <w:num w:numId="10">
    <w:abstractNumId w:val="10"/>
  </w:num>
  <w:num w:numId="11">
    <w:abstractNumId w:val="16"/>
  </w:num>
  <w:num w:numId="12">
    <w:abstractNumId w:val="20"/>
  </w:num>
  <w:num w:numId="13">
    <w:abstractNumId w:val="17"/>
  </w:num>
  <w:num w:numId="14">
    <w:abstractNumId w:val="21"/>
  </w:num>
  <w:num w:numId="15">
    <w:abstractNumId w:val="22"/>
  </w:num>
  <w:num w:numId="16">
    <w:abstractNumId w:val="4"/>
  </w:num>
  <w:num w:numId="17">
    <w:abstractNumId w:val="15"/>
  </w:num>
  <w:num w:numId="18">
    <w:abstractNumId w:val="11"/>
  </w:num>
  <w:num w:numId="19">
    <w:abstractNumId w:val="3"/>
  </w:num>
  <w:num w:numId="20">
    <w:abstractNumId w:val="24"/>
  </w:num>
  <w:num w:numId="21">
    <w:abstractNumId w:val="2"/>
  </w:num>
  <w:num w:numId="22">
    <w:abstractNumId w:val="5"/>
  </w:num>
  <w:num w:numId="23">
    <w:abstractNumId w:val="13"/>
  </w:num>
  <w:num w:numId="24">
    <w:abstractNumId w:val="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zNje3NLY0NTExMTdR0lEKTi0uzszPAykwrAUAT2CMsiwAAAA="/>
  </w:docVars>
  <w:rsids>
    <w:rsidRoot w:val="00830785"/>
    <w:rsid w:val="00004F39"/>
    <w:rsid w:val="00016519"/>
    <w:rsid w:val="00024051"/>
    <w:rsid w:val="000315E5"/>
    <w:rsid w:val="00034DE5"/>
    <w:rsid w:val="000360CB"/>
    <w:rsid w:val="000420CB"/>
    <w:rsid w:val="0004304B"/>
    <w:rsid w:val="00072CC5"/>
    <w:rsid w:val="000741B6"/>
    <w:rsid w:val="00093DD3"/>
    <w:rsid w:val="000A6DE3"/>
    <w:rsid w:val="000A7F1C"/>
    <w:rsid w:val="000B7774"/>
    <w:rsid w:val="000C0126"/>
    <w:rsid w:val="000C32A9"/>
    <w:rsid w:val="000D2F03"/>
    <w:rsid w:val="000F5890"/>
    <w:rsid w:val="000F5A87"/>
    <w:rsid w:val="00100092"/>
    <w:rsid w:val="00104A4B"/>
    <w:rsid w:val="0010595F"/>
    <w:rsid w:val="00114BD4"/>
    <w:rsid w:val="0012008F"/>
    <w:rsid w:val="0012796D"/>
    <w:rsid w:val="00153CA8"/>
    <w:rsid w:val="001551A8"/>
    <w:rsid w:val="001578A6"/>
    <w:rsid w:val="001664DF"/>
    <w:rsid w:val="0017329D"/>
    <w:rsid w:val="00173983"/>
    <w:rsid w:val="0017739A"/>
    <w:rsid w:val="001811B7"/>
    <w:rsid w:val="00185699"/>
    <w:rsid w:val="001946B2"/>
    <w:rsid w:val="001B6276"/>
    <w:rsid w:val="001C5EE1"/>
    <w:rsid w:val="001E59C1"/>
    <w:rsid w:val="001E7FD5"/>
    <w:rsid w:val="001F4031"/>
    <w:rsid w:val="00202BB3"/>
    <w:rsid w:val="00203D79"/>
    <w:rsid w:val="00210B49"/>
    <w:rsid w:val="00212269"/>
    <w:rsid w:val="002129A8"/>
    <w:rsid w:val="0022566F"/>
    <w:rsid w:val="002361B7"/>
    <w:rsid w:val="00236673"/>
    <w:rsid w:val="00252570"/>
    <w:rsid w:val="002539A7"/>
    <w:rsid w:val="00260377"/>
    <w:rsid w:val="00265E5A"/>
    <w:rsid w:val="002732D1"/>
    <w:rsid w:val="00275425"/>
    <w:rsid w:val="002777A3"/>
    <w:rsid w:val="0028367A"/>
    <w:rsid w:val="00283FE0"/>
    <w:rsid w:val="0028627E"/>
    <w:rsid w:val="00291213"/>
    <w:rsid w:val="002930D6"/>
    <w:rsid w:val="00295698"/>
    <w:rsid w:val="002978A6"/>
    <w:rsid w:val="002A4018"/>
    <w:rsid w:val="002A7D6D"/>
    <w:rsid w:val="002B75AB"/>
    <w:rsid w:val="002E36D5"/>
    <w:rsid w:val="00304104"/>
    <w:rsid w:val="00306A5E"/>
    <w:rsid w:val="00315AEE"/>
    <w:rsid w:val="00342A81"/>
    <w:rsid w:val="00342D4D"/>
    <w:rsid w:val="003433D8"/>
    <w:rsid w:val="0034563C"/>
    <w:rsid w:val="00350B6E"/>
    <w:rsid w:val="003538F3"/>
    <w:rsid w:val="003563FA"/>
    <w:rsid w:val="003623D9"/>
    <w:rsid w:val="00364F36"/>
    <w:rsid w:val="003676E2"/>
    <w:rsid w:val="00376446"/>
    <w:rsid w:val="00377A06"/>
    <w:rsid w:val="003A0BE4"/>
    <w:rsid w:val="003A48CF"/>
    <w:rsid w:val="003A4E70"/>
    <w:rsid w:val="003A6C76"/>
    <w:rsid w:val="003B1954"/>
    <w:rsid w:val="003B7125"/>
    <w:rsid w:val="003D08E5"/>
    <w:rsid w:val="003E02C3"/>
    <w:rsid w:val="003E3AB2"/>
    <w:rsid w:val="003E7EEC"/>
    <w:rsid w:val="003F0180"/>
    <w:rsid w:val="00400C3B"/>
    <w:rsid w:val="00402B0B"/>
    <w:rsid w:val="00404ECA"/>
    <w:rsid w:val="00413670"/>
    <w:rsid w:val="004152C9"/>
    <w:rsid w:val="00422995"/>
    <w:rsid w:val="00422FF0"/>
    <w:rsid w:val="004435EC"/>
    <w:rsid w:val="00444E1E"/>
    <w:rsid w:val="00447321"/>
    <w:rsid w:val="0044774D"/>
    <w:rsid w:val="004710EC"/>
    <w:rsid w:val="0047500D"/>
    <w:rsid w:val="004937AC"/>
    <w:rsid w:val="00494623"/>
    <w:rsid w:val="004A350D"/>
    <w:rsid w:val="004A3DAC"/>
    <w:rsid w:val="004A6F2D"/>
    <w:rsid w:val="004B0C50"/>
    <w:rsid w:val="004B5D02"/>
    <w:rsid w:val="004B6D6C"/>
    <w:rsid w:val="004C30A2"/>
    <w:rsid w:val="004C7BA9"/>
    <w:rsid w:val="004D1DAD"/>
    <w:rsid w:val="004D21E1"/>
    <w:rsid w:val="004D236F"/>
    <w:rsid w:val="004D5AE7"/>
    <w:rsid w:val="004D748F"/>
    <w:rsid w:val="004F23EA"/>
    <w:rsid w:val="004F771E"/>
    <w:rsid w:val="0050228B"/>
    <w:rsid w:val="00503E8B"/>
    <w:rsid w:val="00505D9F"/>
    <w:rsid w:val="0050662A"/>
    <w:rsid w:val="00516D9F"/>
    <w:rsid w:val="005201AD"/>
    <w:rsid w:val="00521073"/>
    <w:rsid w:val="00522E71"/>
    <w:rsid w:val="00530EFE"/>
    <w:rsid w:val="00534EED"/>
    <w:rsid w:val="005368BD"/>
    <w:rsid w:val="005557FC"/>
    <w:rsid w:val="00572D74"/>
    <w:rsid w:val="00581ED1"/>
    <w:rsid w:val="00590D25"/>
    <w:rsid w:val="005929A4"/>
    <w:rsid w:val="005953F1"/>
    <w:rsid w:val="005B600C"/>
    <w:rsid w:val="005D0BFD"/>
    <w:rsid w:val="005D19C9"/>
    <w:rsid w:val="005D7EC4"/>
    <w:rsid w:val="005D7F24"/>
    <w:rsid w:val="005F4309"/>
    <w:rsid w:val="005F53C1"/>
    <w:rsid w:val="00602AEB"/>
    <w:rsid w:val="00603CFD"/>
    <w:rsid w:val="006071CA"/>
    <w:rsid w:val="0061592E"/>
    <w:rsid w:val="00616487"/>
    <w:rsid w:val="00617B84"/>
    <w:rsid w:val="00623274"/>
    <w:rsid w:val="00633947"/>
    <w:rsid w:val="00635404"/>
    <w:rsid w:val="00636B14"/>
    <w:rsid w:val="00637004"/>
    <w:rsid w:val="00637223"/>
    <w:rsid w:val="00650171"/>
    <w:rsid w:val="00692BE3"/>
    <w:rsid w:val="0069409C"/>
    <w:rsid w:val="006A1735"/>
    <w:rsid w:val="006B2EE7"/>
    <w:rsid w:val="006C4A0C"/>
    <w:rsid w:val="006D1B4E"/>
    <w:rsid w:val="006D59EF"/>
    <w:rsid w:val="006E0B7B"/>
    <w:rsid w:val="006F1ADE"/>
    <w:rsid w:val="006F44A4"/>
    <w:rsid w:val="007016DD"/>
    <w:rsid w:val="00702CCD"/>
    <w:rsid w:val="00704198"/>
    <w:rsid w:val="007135C0"/>
    <w:rsid w:val="00715B64"/>
    <w:rsid w:val="00720D17"/>
    <w:rsid w:val="00722585"/>
    <w:rsid w:val="00724281"/>
    <w:rsid w:val="00724490"/>
    <w:rsid w:val="00736F49"/>
    <w:rsid w:val="0073793D"/>
    <w:rsid w:val="00746025"/>
    <w:rsid w:val="00751194"/>
    <w:rsid w:val="00752D7B"/>
    <w:rsid w:val="007602A2"/>
    <w:rsid w:val="0076759D"/>
    <w:rsid w:val="00774CB4"/>
    <w:rsid w:val="007772C2"/>
    <w:rsid w:val="00781450"/>
    <w:rsid w:val="007878DB"/>
    <w:rsid w:val="00792B22"/>
    <w:rsid w:val="0079318D"/>
    <w:rsid w:val="007A2397"/>
    <w:rsid w:val="007A5735"/>
    <w:rsid w:val="007C1657"/>
    <w:rsid w:val="007C5ACB"/>
    <w:rsid w:val="007C793A"/>
    <w:rsid w:val="007C7E0E"/>
    <w:rsid w:val="007D246C"/>
    <w:rsid w:val="007D4C57"/>
    <w:rsid w:val="007D6DB6"/>
    <w:rsid w:val="007E6C07"/>
    <w:rsid w:val="007F5109"/>
    <w:rsid w:val="0080060B"/>
    <w:rsid w:val="00800BFD"/>
    <w:rsid w:val="00801148"/>
    <w:rsid w:val="00802D02"/>
    <w:rsid w:val="008071B6"/>
    <w:rsid w:val="008277F3"/>
    <w:rsid w:val="00830785"/>
    <w:rsid w:val="00835B67"/>
    <w:rsid w:val="00841293"/>
    <w:rsid w:val="008418CD"/>
    <w:rsid w:val="008442CB"/>
    <w:rsid w:val="008563BE"/>
    <w:rsid w:val="008655D6"/>
    <w:rsid w:val="00872088"/>
    <w:rsid w:val="008762E5"/>
    <w:rsid w:val="00890FAF"/>
    <w:rsid w:val="00891C67"/>
    <w:rsid w:val="008A612E"/>
    <w:rsid w:val="008B6D5E"/>
    <w:rsid w:val="008C2CC4"/>
    <w:rsid w:val="008C7B86"/>
    <w:rsid w:val="008E10B7"/>
    <w:rsid w:val="008E2333"/>
    <w:rsid w:val="008E4E0F"/>
    <w:rsid w:val="008E736E"/>
    <w:rsid w:val="008F03D2"/>
    <w:rsid w:val="008F1758"/>
    <w:rsid w:val="008F2BEE"/>
    <w:rsid w:val="008F4957"/>
    <w:rsid w:val="008F5FB1"/>
    <w:rsid w:val="008F6DE4"/>
    <w:rsid w:val="009062EF"/>
    <w:rsid w:val="00926A4D"/>
    <w:rsid w:val="009320C8"/>
    <w:rsid w:val="0093622B"/>
    <w:rsid w:val="009551D6"/>
    <w:rsid w:val="009564E3"/>
    <w:rsid w:val="0096368E"/>
    <w:rsid w:val="00963FA9"/>
    <w:rsid w:val="00965805"/>
    <w:rsid w:val="00973680"/>
    <w:rsid w:val="009761BE"/>
    <w:rsid w:val="009845DD"/>
    <w:rsid w:val="009864D7"/>
    <w:rsid w:val="00986F6A"/>
    <w:rsid w:val="00987C77"/>
    <w:rsid w:val="009903E2"/>
    <w:rsid w:val="009918D3"/>
    <w:rsid w:val="00991A82"/>
    <w:rsid w:val="0099268F"/>
    <w:rsid w:val="00995425"/>
    <w:rsid w:val="009A3DE5"/>
    <w:rsid w:val="009A6C98"/>
    <w:rsid w:val="009B1712"/>
    <w:rsid w:val="009B3DA0"/>
    <w:rsid w:val="009C1EBB"/>
    <w:rsid w:val="009C463B"/>
    <w:rsid w:val="009D29FA"/>
    <w:rsid w:val="009E036E"/>
    <w:rsid w:val="009F32F7"/>
    <w:rsid w:val="009F602F"/>
    <w:rsid w:val="00A03AA4"/>
    <w:rsid w:val="00A11ACF"/>
    <w:rsid w:val="00A26EB0"/>
    <w:rsid w:val="00A27567"/>
    <w:rsid w:val="00A36B4E"/>
    <w:rsid w:val="00A463A1"/>
    <w:rsid w:val="00A52629"/>
    <w:rsid w:val="00A56BC8"/>
    <w:rsid w:val="00A724DF"/>
    <w:rsid w:val="00A77BC1"/>
    <w:rsid w:val="00A80214"/>
    <w:rsid w:val="00A84D14"/>
    <w:rsid w:val="00A91DF9"/>
    <w:rsid w:val="00AA1E2F"/>
    <w:rsid w:val="00AA308A"/>
    <w:rsid w:val="00AA3952"/>
    <w:rsid w:val="00AA601F"/>
    <w:rsid w:val="00AB7B64"/>
    <w:rsid w:val="00AC0E72"/>
    <w:rsid w:val="00AD11F4"/>
    <w:rsid w:val="00AD3814"/>
    <w:rsid w:val="00AE2858"/>
    <w:rsid w:val="00AF63CD"/>
    <w:rsid w:val="00AF65C7"/>
    <w:rsid w:val="00B04CD6"/>
    <w:rsid w:val="00B12A01"/>
    <w:rsid w:val="00B12D76"/>
    <w:rsid w:val="00B216A1"/>
    <w:rsid w:val="00B2254A"/>
    <w:rsid w:val="00B34F6A"/>
    <w:rsid w:val="00B45888"/>
    <w:rsid w:val="00B5488B"/>
    <w:rsid w:val="00B613A5"/>
    <w:rsid w:val="00B63708"/>
    <w:rsid w:val="00B845E3"/>
    <w:rsid w:val="00B84AA0"/>
    <w:rsid w:val="00B85D62"/>
    <w:rsid w:val="00B86BE8"/>
    <w:rsid w:val="00B91D87"/>
    <w:rsid w:val="00B94E8E"/>
    <w:rsid w:val="00BA3080"/>
    <w:rsid w:val="00BA66BE"/>
    <w:rsid w:val="00BB7D24"/>
    <w:rsid w:val="00BD4541"/>
    <w:rsid w:val="00BD47D7"/>
    <w:rsid w:val="00BE06F9"/>
    <w:rsid w:val="00BE18E9"/>
    <w:rsid w:val="00BF7AA8"/>
    <w:rsid w:val="00C06EE4"/>
    <w:rsid w:val="00C12C1B"/>
    <w:rsid w:val="00C15EC4"/>
    <w:rsid w:val="00C165C2"/>
    <w:rsid w:val="00C245DB"/>
    <w:rsid w:val="00C3224F"/>
    <w:rsid w:val="00C44DF4"/>
    <w:rsid w:val="00C46C65"/>
    <w:rsid w:val="00C55862"/>
    <w:rsid w:val="00C64F92"/>
    <w:rsid w:val="00C67A98"/>
    <w:rsid w:val="00C75039"/>
    <w:rsid w:val="00C762C9"/>
    <w:rsid w:val="00C80265"/>
    <w:rsid w:val="00C8471F"/>
    <w:rsid w:val="00C94A0B"/>
    <w:rsid w:val="00CA56E9"/>
    <w:rsid w:val="00CB3A13"/>
    <w:rsid w:val="00CB434C"/>
    <w:rsid w:val="00CB73D1"/>
    <w:rsid w:val="00CB7C39"/>
    <w:rsid w:val="00CC718D"/>
    <w:rsid w:val="00CE0DE4"/>
    <w:rsid w:val="00CE2AB3"/>
    <w:rsid w:val="00CE408B"/>
    <w:rsid w:val="00CE5ECF"/>
    <w:rsid w:val="00CF0A9B"/>
    <w:rsid w:val="00CF3890"/>
    <w:rsid w:val="00CF5168"/>
    <w:rsid w:val="00D0602A"/>
    <w:rsid w:val="00D109E6"/>
    <w:rsid w:val="00D13294"/>
    <w:rsid w:val="00D15256"/>
    <w:rsid w:val="00D157F5"/>
    <w:rsid w:val="00D15A4D"/>
    <w:rsid w:val="00D1634C"/>
    <w:rsid w:val="00D16A8B"/>
    <w:rsid w:val="00D2300C"/>
    <w:rsid w:val="00D23CE8"/>
    <w:rsid w:val="00D45CE9"/>
    <w:rsid w:val="00D4648E"/>
    <w:rsid w:val="00D6107E"/>
    <w:rsid w:val="00D62298"/>
    <w:rsid w:val="00D70DF3"/>
    <w:rsid w:val="00D87539"/>
    <w:rsid w:val="00DA5352"/>
    <w:rsid w:val="00DA5E5A"/>
    <w:rsid w:val="00DA71AC"/>
    <w:rsid w:val="00DA7AE7"/>
    <w:rsid w:val="00DB3CB3"/>
    <w:rsid w:val="00DB4BB2"/>
    <w:rsid w:val="00DC2ACB"/>
    <w:rsid w:val="00DC34CA"/>
    <w:rsid w:val="00DC6415"/>
    <w:rsid w:val="00DD00F3"/>
    <w:rsid w:val="00DD65CA"/>
    <w:rsid w:val="00DE105D"/>
    <w:rsid w:val="00DE1FCF"/>
    <w:rsid w:val="00DE21CE"/>
    <w:rsid w:val="00DE3E25"/>
    <w:rsid w:val="00DE73A3"/>
    <w:rsid w:val="00E03681"/>
    <w:rsid w:val="00E11C94"/>
    <w:rsid w:val="00E11F4F"/>
    <w:rsid w:val="00E25FF7"/>
    <w:rsid w:val="00E30A69"/>
    <w:rsid w:val="00E347C2"/>
    <w:rsid w:val="00E36F9D"/>
    <w:rsid w:val="00E4413A"/>
    <w:rsid w:val="00E57A0B"/>
    <w:rsid w:val="00E60228"/>
    <w:rsid w:val="00E66C21"/>
    <w:rsid w:val="00E73F9A"/>
    <w:rsid w:val="00E946A5"/>
    <w:rsid w:val="00EA06D0"/>
    <w:rsid w:val="00EA1332"/>
    <w:rsid w:val="00EA5C82"/>
    <w:rsid w:val="00EA6CA5"/>
    <w:rsid w:val="00EB0413"/>
    <w:rsid w:val="00EB5BAF"/>
    <w:rsid w:val="00EC11F1"/>
    <w:rsid w:val="00EC4F18"/>
    <w:rsid w:val="00EF6615"/>
    <w:rsid w:val="00EF7D67"/>
    <w:rsid w:val="00F00D95"/>
    <w:rsid w:val="00F038BC"/>
    <w:rsid w:val="00F050DB"/>
    <w:rsid w:val="00F071D8"/>
    <w:rsid w:val="00F31A99"/>
    <w:rsid w:val="00F343F2"/>
    <w:rsid w:val="00F369A4"/>
    <w:rsid w:val="00F41198"/>
    <w:rsid w:val="00F41F8B"/>
    <w:rsid w:val="00F42095"/>
    <w:rsid w:val="00F44D53"/>
    <w:rsid w:val="00F4759E"/>
    <w:rsid w:val="00F51B71"/>
    <w:rsid w:val="00F60789"/>
    <w:rsid w:val="00F60BB5"/>
    <w:rsid w:val="00F657DF"/>
    <w:rsid w:val="00F66DA7"/>
    <w:rsid w:val="00F74991"/>
    <w:rsid w:val="00F74D87"/>
    <w:rsid w:val="00F80D0D"/>
    <w:rsid w:val="00F81990"/>
    <w:rsid w:val="00F85A70"/>
    <w:rsid w:val="00F912D1"/>
    <w:rsid w:val="00F93153"/>
    <w:rsid w:val="00F95CC4"/>
    <w:rsid w:val="00FA2D02"/>
    <w:rsid w:val="00FA43E3"/>
    <w:rsid w:val="00FC22F7"/>
    <w:rsid w:val="00FC636D"/>
    <w:rsid w:val="00FC66D8"/>
    <w:rsid w:val="00FD1731"/>
    <w:rsid w:val="00FE11B0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5A0B88BC-4DFD-D64F-8872-AA663A46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0B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paragraph" w:customStyle="1" w:styleId="Default">
    <w:name w:val="Default"/>
    <w:rsid w:val="008412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841293"/>
    <w:rPr>
      <w:b/>
      <w:bCs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841293"/>
    <w:rPr>
      <w:rFonts w:ascii="Times" w:hAnsi="Times"/>
      <w:noProof/>
      <w:lang w:bidi="fa-IR"/>
    </w:rPr>
  </w:style>
  <w:style w:type="character" w:customStyle="1" w:styleId="EndNoteBibliographyChar">
    <w:name w:val="EndNote Bibliography Char"/>
    <w:link w:val="EndNoteBibliography"/>
    <w:rsid w:val="00841293"/>
    <w:rPr>
      <w:rFonts w:ascii="Times" w:hAnsi="Times"/>
      <w:noProof/>
      <w:sz w:val="24"/>
      <w:szCs w:val="24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7814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4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4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4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zari@sci.ui.ac.ir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ictvonline.org/subcommittees.as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sections as applicable</vt:lpstr>
    </vt:vector>
  </TitlesOfParts>
  <Company>home</Company>
  <LinksUpToDate>false</LinksUpToDate>
  <CharactersWithSpaces>10544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creator>King</dc:creator>
  <cp:lastModifiedBy>Peter</cp:lastModifiedBy>
  <cp:revision>2</cp:revision>
  <cp:lastPrinted>2017-01-11T11:49:00Z</cp:lastPrinted>
  <dcterms:created xsi:type="dcterms:W3CDTF">2018-09-29T07:23:00Z</dcterms:created>
  <dcterms:modified xsi:type="dcterms:W3CDTF">2018-09-29T07:23:00Z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