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A25" w:rsidRDefault="0029704B">
      <w:pPr>
        <w:rPr>
          <w:rFonts w:ascii="Arial" w:hAnsi="Arial" w:cs="Arial"/>
          <w:color w:val="0000FF"/>
          <w:sz w:val="22"/>
          <w:szCs w:val="22"/>
        </w:rPr>
      </w:pPr>
      <w:r>
        <w:rPr>
          <w:noProof/>
        </w:rPr>
        <w:drawing>
          <wp:anchor distT="0" distB="0" distL="114300" distR="120650" simplePos="0" relativeHeight="3"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38250" cy="762000"/>
                    </a:xfrm>
                    <a:prstGeom prst="rect">
                      <a:avLst/>
                    </a:prstGeom>
                  </pic:spPr>
                </pic:pic>
              </a:graphicData>
            </a:graphic>
          </wp:anchor>
        </w:drawing>
      </w:r>
      <w:r>
        <w:rPr>
          <w:rFonts w:ascii="Arial" w:hAnsi="Arial" w:cs="Arial"/>
          <w:color w:val="0000FF"/>
          <w:sz w:val="22"/>
          <w:szCs w:val="22"/>
        </w:rPr>
        <w:t xml:space="preserve">This Word module should be used for all taxonomic proposals. </w:t>
      </w:r>
    </w:p>
    <w:p w:rsidR="00782A25" w:rsidRDefault="0029704B">
      <w:pPr>
        <w:rPr>
          <w:rFonts w:ascii="Arial" w:hAnsi="Arial" w:cs="Arial"/>
          <w:color w:val="0000FF"/>
          <w:sz w:val="22"/>
          <w:szCs w:val="22"/>
        </w:rPr>
      </w:pPr>
      <w:r>
        <w:rPr>
          <w:rFonts w:ascii="Arial" w:hAnsi="Arial" w:cs="Arial"/>
          <w:color w:val="0000FF"/>
          <w:sz w:val="22"/>
          <w:szCs w:val="22"/>
        </w:rPr>
        <w:t xml:space="preserve">Please complete </w:t>
      </w:r>
      <w:r>
        <w:rPr>
          <w:rFonts w:ascii="Arial" w:hAnsi="Arial" w:cs="Arial"/>
          <w:b/>
          <w:color w:val="0000FF"/>
          <w:sz w:val="22"/>
          <w:szCs w:val="22"/>
        </w:rPr>
        <w:t>Part 1</w:t>
      </w:r>
      <w:r>
        <w:rPr>
          <w:rFonts w:ascii="Arial" w:hAnsi="Arial" w:cs="Arial"/>
          <w:color w:val="0000FF"/>
          <w:sz w:val="22"/>
          <w:szCs w:val="22"/>
        </w:rPr>
        <w:t xml:space="preserve"> and:</w:t>
      </w:r>
    </w:p>
    <w:p w:rsidR="00782A25" w:rsidRDefault="0029704B">
      <w:pPr>
        <w:ind w:left="2160" w:firstLine="534"/>
        <w:rPr>
          <w:rFonts w:ascii="Arial" w:hAnsi="Arial" w:cs="Arial"/>
          <w:color w:val="0000FF"/>
          <w:sz w:val="22"/>
          <w:szCs w:val="22"/>
        </w:rPr>
      </w:pPr>
      <w:r>
        <w:rPr>
          <w:rFonts w:ascii="Arial" w:hAnsi="Arial" w:cs="Arial"/>
          <w:color w:val="0000FF"/>
          <w:sz w:val="22"/>
          <w:szCs w:val="22"/>
          <w:u w:val="single"/>
        </w:rPr>
        <w:t>either</w:t>
      </w:r>
      <w:r>
        <w:rPr>
          <w:rFonts w:ascii="Arial" w:hAnsi="Arial" w:cs="Arial"/>
          <w:b/>
          <w:color w:val="0000FF"/>
          <w:sz w:val="22"/>
          <w:szCs w:val="22"/>
        </w:rPr>
        <w:t xml:space="preserve"> Part 3</w:t>
      </w:r>
      <w:r>
        <w:rPr>
          <w:rFonts w:ascii="Arial" w:hAnsi="Arial" w:cs="Arial"/>
          <w:color w:val="0000FF"/>
          <w:sz w:val="22"/>
          <w:szCs w:val="22"/>
        </w:rPr>
        <w:t xml:space="preserve"> for proposals to create new taxa or change existing taxa </w:t>
      </w:r>
    </w:p>
    <w:p w:rsidR="00782A25" w:rsidRDefault="0029704B">
      <w:pPr>
        <w:ind w:left="2160" w:firstLine="534"/>
        <w:rPr>
          <w:b/>
          <w:sz w:val="22"/>
          <w:szCs w:val="22"/>
        </w:rPr>
      </w:pPr>
      <w:r>
        <w:rPr>
          <w:rFonts w:ascii="Arial" w:hAnsi="Arial" w:cs="Arial"/>
          <w:color w:val="0000FF"/>
          <w:sz w:val="22"/>
          <w:szCs w:val="22"/>
          <w:u w:val="single"/>
        </w:rPr>
        <w:t>or</w:t>
      </w:r>
      <w:r>
        <w:rPr>
          <w:rFonts w:ascii="Arial" w:hAnsi="Arial" w:cs="Arial"/>
          <w:b/>
          <w:color w:val="0000FF"/>
          <w:sz w:val="22"/>
          <w:szCs w:val="22"/>
        </w:rPr>
        <w:t xml:space="preserve"> Part 2</w:t>
      </w:r>
      <w:r>
        <w:rPr>
          <w:rFonts w:ascii="Arial" w:hAnsi="Arial" w:cs="Arial"/>
          <w:color w:val="0000FF"/>
          <w:sz w:val="22"/>
          <w:szCs w:val="22"/>
        </w:rPr>
        <w:t xml:space="preserve"> for proposals of a general nature. </w:t>
      </w:r>
      <w:r>
        <w:rPr>
          <w:b/>
          <w:sz w:val="22"/>
          <w:szCs w:val="22"/>
        </w:rPr>
        <w:t xml:space="preserve">  </w:t>
      </w:r>
    </w:p>
    <w:p w:rsidR="00782A25" w:rsidRDefault="0029704B">
      <w:pPr>
        <w:pStyle w:val="BodyTextIndent"/>
        <w:spacing w:after="120"/>
        <w:ind w:left="2007" w:firstLine="0"/>
        <w:rPr>
          <w:rFonts w:ascii="Arial" w:hAnsi="Arial" w:cs="Arial"/>
          <w:color w:val="0000FF"/>
          <w:sz w:val="22"/>
          <w:szCs w:val="22"/>
        </w:rPr>
      </w:pPr>
      <w:r>
        <w:rPr>
          <w:rFonts w:ascii="Arial" w:hAnsi="Arial" w:cs="Arial"/>
          <w:color w:val="0000FF"/>
          <w:sz w:val="22"/>
          <w:szCs w:val="22"/>
        </w:rPr>
        <w:t>Submit the completed Word module, together with the accompanying Excel module named in Part 3, to the appropriate ICTV Subcommittee Chair.</w:t>
      </w:r>
    </w:p>
    <w:p w:rsidR="00782A25" w:rsidRDefault="0029704B">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The Word module explains and justifies your proposal. </w:t>
      </w:r>
      <w:r>
        <w:rPr>
          <w:rFonts w:ascii="Calibri" w:hAnsi="Calibri"/>
          <w:color w:val="0000FF"/>
        </w:rPr>
        <w:t xml:space="preserve">The </w:t>
      </w:r>
      <w:r>
        <w:rPr>
          <w:rFonts w:ascii="Calibri" w:hAnsi="Calibri"/>
          <w:color w:val="0000FF"/>
          <w:u w:val="single"/>
        </w:rPr>
        <w:t xml:space="preserve">Excel module is a critical document </w:t>
      </w:r>
      <w:r>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Pr>
          <w:rFonts w:ascii="Calibri" w:hAnsi="Calibri"/>
          <w:color w:val="0000FF"/>
          <w:u w:val="single"/>
        </w:rPr>
        <w:t>the taxonomic changes cannot proceed</w:t>
      </w:r>
      <w:r>
        <w:rPr>
          <w:rFonts w:ascii="Calibri" w:hAnsi="Calibri"/>
        </w:rPr>
        <w:t>.</w:t>
      </w:r>
    </w:p>
    <w:p w:rsidR="00782A25" w:rsidRDefault="0029704B">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For guidance, see the notes written in blue, below, and the </w:t>
      </w:r>
      <w:r>
        <w:rPr>
          <w:rFonts w:ascii="Arial" w:hAnsi="Arial" w:cs="Arial"/>
          <w:color w:val="0000FF"/>
          <w:sz w:val="22"/>
          <w:szCs w:val="22"/>
          <w:u w:val="single"/>
        </w:rPr>
        <w:t>Help Notes</w:t>
      </w:r>
      <w:r>
        <w:rPr>
          <w:rFonts w:ascii="Arial" w:hAnsi="Arial" w:cs="Arial"/>
          <w:color w:val="0000FF"/>
          <w:sz w:val="22"/>
          <w:szCs w:val="22"/>
        </w:rPr>
        <w:t xml:space="preserve"> in file Taxonomic_Proposals_Help_2019.</w:t>
      </w:r>
    </w:p>
    <w:p w:rsidR="00782A25" w:rsidRDefault="0029704B">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etc</w:t>
      </w:r>
    </w:p>
    <w:p w:rsidR="00782A25" w:rsidRDefault="00782A25">
      <w:pPr>
        <w:rPr>
          <w:rFonts w:ascii="Arial" w:hAnsi="Arial" w:cs="Arial"/>
          <w:sz w:val="22"/>
          <w:szCs w:val="22"/>
          <w:lang w:val="en-GB"/>
        </w:rPr>
      </w:pPr>
    </w:p>
    <w:tbl>
      <w:tblPr>
        <w:tblW w:w="9596" w:type="dxa"/>
        <w:tblBorders>
          <w:top w:val="double" w:sz="4" w:space="0" w:color="000000"/>
          <w:left w:val="double" w:sz="4" w:space="0" w:color="000000"/>
          <w:right w:val="single" w:sz="4" w:space="0" w:color="000000"/>
          <w:insideV w:val="single" w:sz="4" w:space="0" w:color="000000"/>
        </w:tblBorders>
        <w:tblCellMar>
          <w:left w:w="93" w:type="dxa"/>
        </w:tblCellMar>
        <w:tblLook w:val="04A0" w:firstRow="1" w:lastRow="0" w:firstColumn="1" w:lastColumn="0" w:noHBand="0" w:noVBand="1"/>
      </w:tblPr>
      <w:tblGrid>
        <w:gridCol w:w="3681"/>
        <w:gridCol w:w="1194"/>
        <w:gridCol w:w="2056"/>
        <w:gridCol w:w="2665"/>
      </w:tblGrid>
      <w:tr w:rsidR="00782A25">
        <w:trPr>
          <w:tblHeader/>
        </w:trPr>
        <w:tc>
          <w:tcPr>
            <w:tcW w:w="3681" w:type="dxa"/>
            <w:tcBorders>
              <w:top w:val="double" w:sz="4" w:space="0" w:color="000000"/>
              <w:left w:val="double" w:sz="4" w:space="0" w:color="000000"/>
              <w:right w:val="single" w:sz="4" w:space="0" w:color="000000"/>
            </w:tcBorders>
            <w:shd w:val="clear" w:color="auto" w:fill="auto"/>
            <w:vAlign w:val="center"/>
          </w:tcPr>
          <w:p w:rsidR="00782A25" w:rsidRDefault="0029704B">
            <w:pPr>
              <w:pStyle w:val="BodyTextIndent"/>
              <w:ind w:left="0" w:firstLine="0"/>
              <w:rPr>
                <w:rFonts w:ascii="Arial" w:hAnsi="Arial" w:cs="Arial"/>
                <w:b/>
                <w:i/>
                <w:sz w:val="36"/>
                <w:szCs w:val="36"/>
              </w:rPr>
            </w:pPr>
            <w:r>
              <w:rPr>
                <w:rFonts w:ascii="Arial" w:hAnsi="Arial" w:cs="Arial"/>
                <w:b/>
                <w:szCs w:val="24"/>
              </w:rPr>
              <w:t>Code assigned:</w:t>
            </w:r>
          </w:p>
        </w:tc>
        <w:tc>
          <w:tcPr>
            <w:tcW w:w="3250" w:type="dxa"/>
            <w:gridSpan w:val="2"/>
            <w:tcBorders>
              <w:top w:val="double" w:sz="4" w:space="0" w:color="000000"/>
              <w:left w:val="single" w:sz="4" w:space="0" w:color="000000"/>
              <w:bottom w:val="single" w:sz="4" w:space="0" w:color="000000"/>
              <w:right w:val="single" w:sz="4" w:space="0" w:color="000000"/>
            </w:tcBorders>
            <w:shd w:val="clear" w:color="auto" w:fill="auto"/>
          </w:tcPr>
          <w:p w:rsidR="00782A25" w:rsidRPr="00E64A7D" w:rsidRDefault="00E64A7D" w:rsidP="00E64A7D">
            <w:pPr>
              <w:pStyle w:val="BodyTextIndent"/>
              <w:ind w:left="0" w:firstLine="0"/>
              <w:jc w:val="center"/>
              <w:rPr>
                <w:rFonts w:ascii="Arial" w:hAnsi="Arial" w:cs="Arial"/>
                <w:b/>
                <w:bCs/>
                <w:i/>
                <w:iCs/>
                <w:sz w:val="28"/>
                <w:szCs w:val="28"/>
              </w:rPr>
            </w:pPr>
            <w:r w:rsidRPr="00E64A7D">
              <w:rPr>
                <w:rFonts w:ascii="Arial" w:hAnsi="Arial" w:cs="Arial"/>
                <w:b/>
                <w:bCs/>
                <w:i/>
                <w:iCs/>
                <w:color w:val="000000" w:themeColor="text1"/>
                <w:sz w:val="28"/>
                <w:szCs w:val="28"/>
              </w:rPr>
              <w:t>2019.056B</w:t>
            </w:r>
          </w:p>
        </w:tc>
        <w:tc>
          <w:tcPr>
            <w:tcW w:w="2665" w:type="dxa"/>
            <w:tcBorders>
              <w:top w:val="double" w:sz="4" w:space="0" w:color="000000"/>
              <w:left w:val="single" w:sz="4" w:space="0" w:color="000000"/>
              <w:right w:val="double" w:sz="4" w:space="0" w:color="000000"/>
            </w:tcBorders>
            <w:shd w:val="clear" w:color="auto" w:fill="auto"/>
            <w:vAlign w:val="center"/>
          </w:tcPr>
          <w:p w:rsidR="00782A25" w:rsidRDefault="00782A25">
            <w:pPr>
              <w:pStyle w:val="BodyTextIndent"/>
              <w:ind w:left="0" w:firstLine="0"/>
              <w:rPr>
                <w:rFonts w:ascii="Arial" w:hAnsi="Arial" w:cs="Arial"/>
              </w:rPr>
            </w:pPr>
          </w:p>
        </w:tc>
      </w:tr>
      <w:tr w:rsidR="00782A25">
        <w:trPr>
          <w:tblHeader/>
        </w:trPr>
        <w:tc>
          <w:tcPr>
            <w:tcW w:w="9596" w:type="dxa"/>
            <w:gridSpan w:val="4"/>
            <w:tcBorders>
              <w:left w:val="double" w:sz="4" w:space="0" w:color="000000"/>
              <w:right w:val="double" w:sz="4" w:space="0" w:color="000000"/>
            </w:tcBorders>
            <w:shd w:val="clear" w:color="auto" w:fill="auto"/>
          </w:tcPr>
          <w:p w:rsidR="00782A25" w:rsidRPr="00E64A7D" w:rsidRDefault="0029704B">
            <w:pPr>
              <w:spacing w:before="120"/>
              <w:rPr>
                <w:rFonts w:ascii="Arial" w:hAnsi="Arial" w:cs="Arial"/>
                <w:color w:val="0000FF"/>
                <w:sz w:val="20"/>
              </w:rPr>
            </w:pPr>
            <w:r>
              <w:rPr>
                <w:rFonts w:ascii="Arial" w:hAnsi="Arial" w:cs="Arial"/>
                <w:b/>
              </w:rPr>
              <w:t xml:space="preserve">Short title: </w:t>
            </w:r>
            <w:r w:rsidRPr="00E64A7D">
              <w:rPr>
                <w:rFonts w:ascii="Arial" w:hAnsi="Arial" w:cs="Arial"/>
                <w:bCs/>
                <w:lang w:val="en-GB"/>
              </w:rPr>
              <w:t xml:space="preserve">Create one new genus </w:t>
            </w:r>
            <w:r w:rsidR="00E64A7D" w:rsidRPr="00E64A7D">
              <w:rPr>
                <w:rFonts w:ascii="Arial" w:hAnsi="Arial" w:cs="Arial"/>
                <w:bCs/>
                <w:lang w:val="en-GB"/>
              </w:rPr>
              <w:t>(</w:t>
            </w:r>
            <w:r w:rsidRPr="00E64A7D">
              <w:rPr>
                <w:rFonts w:ascii="Arial" w:hAnsi="Arial" w:cs="Arial"/>
                <w:bCs/>
                <w:i/>
                <w:lang w:val="en-GB"/>
              </w:rPr>
              <w:t>Fibralongavirus</w:t>
            </w:r>
            <w:r w:rsidR="00E64A7D" w:rsidRPr="00E64A7D">
              <w:rPr>
                <w:rFonts w:ascii="Arial" w:hAnsi="Arial" w:cs="Arial"/>
                <w:bCs/>
                <w:lang w:val="en-GB"/>
              </w:rPr>
              <w:t>)</w:t>
            </w:r>
            <w:r w:rsidRPr="00E64A7D">
              <w:rPr>
                <w:rFonts w:ascii="Arial" w:hAnsi="Arial" w:cs="Arial"/>
                <w:bCs/>
                <w:lang w:val="en-GB"/>
              </w:rPr>
              <w:t xml:space="preserve"> including two new species in the family </w:t>
            </w:r>
            <w:r w:rsidRPr="00E64A7D">
              <w:rPr>
                <w:rFonts w:ascii="Arial" w:hAnsi="Arial" w:cs="Arial"/>
                <w:bCs/>
                <w:i/>
                <w:lang w:val="en-GB"/>
              </w:rPr>
              <w:t>Siphoviridae</w:t>
            </w:r>
            <w:r>
              <w:rPr>
                <w:rFonts w:ascii="Arial" w:hAnsi="Arial" w:cs="Arial"/>
                <w:b/>
                <w:lang w:val="en-GB"/>
              </w:rPr>
              <w:t xml:space="preserve"> </w:t>
            </w:r>
          </w:p>
          <w:p w:rsidR="00782A25" w:rsidRDefault="00782A25">
            <w:pPr>
              <w:spacing w:before="120"/>
              <w:rPr>
                <w:rFonts w:ascii="Arial" w:hAnsi="Arial" w:cs="Arial"/>
                <w:b/>
              </w:rPr>
            </w:pPr>
          </w:p>
        </w:tc>
      </w:tr>
      <w:tr w:rsidR="00782A25">
        <w:trPr>
          <w:trHeight w:val="245"/>
        </w:trPr>
        <w:tc>
          <w:tcPr>
            <w:tcW w:w="9596" w:type="dxa"/>
            <w:gridSpan w:val="4"/>
            <w:tcBorders>
              <w:left w:val="double" w:sz="4" w:space="0" w:color="000000"/>
              <w:bottom w:val="double" w:sz="4" w:space="0" w:color="000000"/>
              <w:right w:val="double" w:sz="4" w:space="0" w:color="000000"/>
            </w:tcBorders>
            <w:shd w:val="clear" w:color="auto" w:fill="auto"/>
            <w:vAlign w:val="center"/>
          </w:tcPr>
          <w:p w:rsidR="00782A25" w:rsidRDefault="0029704B">
            <w:pPr>
              <w:rPr>
                <w:b/>
              </w:rPr>
            </w:pPr>
            <w:r>
              <w:rPr>
                <w:b/>
              </w:rPr>
              <w:t xml:space="preserve">  </w:t>
            </w:r>
          </w:p>
        </w:tc>
      </w:tr>
      <w:tr w:rsidR="00782A25">
        <w:tc>
          <w:tcPr>
            <w:tcW w:w="9596" w:type="dxa"/>
            <w:gridSpan w:val="4"/>
            <w:shd w:val="clear" w:color="auto" w:fill="auto"/>
          </w:tcPr>
          <w:p w:rsidR="00782A25" w:rsidRDefault="0029704B">
            <w:pPr>
              <w:spacing w:before="120" w:after="120"/>
              <w:rPr>
                <w:rFonts w:ascii="Arial" w:hAnsi="Arial" w:cs="Arial"/>
                <w:b/>
              </w:rPr>
            </w:pPr>
            <w:r>
              <w:rPr>
                <w:rFonts w:ascii="Arial" w:hAnsi="Arial" w:cs="Arial"/>
                <w:b/>
              </w:rPr>
              <w:t xml:space="preserve">Author(s) and email address(es): </w:t>
            </w:r>
          </w:p>
        </w:tc>
      </w:tr>
      <w:tr w:rsidR="00782A25">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782A25" w:rsidRDefault="0029704B">
            <w:pPr>
              <w:pStyle w:val="BodyTextIndent"/>
              <w:ind w:left="0" w:firstLine="0"/>
              <w:rPr>
                <w:rFonts w:ascii="Arial" w:hAnsi="Arial" w:cs="Arial"/>
                <w:color w:val="0000FF"/>
                <w:sz w:val="20"/>
              </w:rPr>
            </w:pPr>
            <w:r>
              <w:rPr>
                <w:rFonts w:ascii="Arial" w:hAnsi="Arial" w:cs="Arial"/>
                <w:color w:val="0000FF"/>
                <w:sz w:val="20"/>
              </w:rPr>
              <w:t xml:space="preserve">List authors in a single line </w:t>
            </w:r>
            <w:r>
              <w:rPr>
                <w:rFonts w:ascii="Arial" w:hAnsi="Arial" w:cs="Arial"/>
                <w:i/>
                <w:color w:val="0000FF"/>
                <w:sz w:val="20"/>
              </w:rPr>
              <w:t>Archives of Virology</w:t>
            </w:r>
            <w:r>
              <w:rPr>
                <w:rFonts w:ascii="Arial" w:hAnsi="Arial" w:cs="Arial"/>
                <w:color w:val="0000FF"/>
                <w:sz w:val="20"/>
              </w:rPr>
              <w:t xml:space="preserve"> citation format (e.g. Smith AB, Huang C-L, Santos, F)</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rsidR="00782A25" w:rsidRDefault="0029704B">
            <w:pPr>
              <w:jc w:val="both"/>
              <w:rPr>
                <w:rFonts w:ascii="Arial" w:hAnsi="Arial" w:cs="Arial"/>
                <w:b/>
              </w:rPr>
            </w:pPr>
            <w:r>
              <w:rPr>
                <w:rFonts w:ascii="Arial" w:hAnsi="Arial" w:cs="Arial"/>
                <w:color w:val="0000FF"/>
                <w:sz w:val="20"/>
              </w:rPr>
              <w:t>Provide email address for each author in a single line separated by semi-colons</w:t>
            </w:r>
          </w:p>
        </w:tc>
      </w:tr>
      <w:tr w:rsidR="00782A25">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782A25" w:rsidRDefault="00782A25">
            <w:pPr>
              <w:pStyle w:val="BodyTextIndent"/>
              <w:ind w:left="0" w:firstLine="0"/>
              <w:rPr>
                <w:rFonts w:ascii="Arial" w:hAnsi="Arial" w:cs="Arial"/>
                <w:color w:val="0000FF"/>
                <w:sz w:val="22"/>
                <w:szCs w:val="22"/>
              </w:rPr>
            </w:pPr>
          </w:p>
          <w:p w:rsidR="00782A25" w:rsidRDefault="0029704B">
            <w:pPr>
              <w:pStyle w:val="BodyTextIndent"/>
              <w:ind w:left="0" w:firstLine="0"/>
            </w:pPr>
            <w:r>
              <w:rPr>
                <w:rFonts w:ascii="Arial" w:hAnsi="Arial" w:cs="Arial"/>
                <w:color w:val="000000" w:themeColor="text1"/>
                <w:sz w:val="22"/>
                <w:szCs w:val="22"/>
              </w:rPr>
              <w:t xml:space="preserve">Zeman M, Bárdy P, Vrbovská V, </w:t>
            </w:r>
            <w:r>
              <w:rPr>
                <w:rFonts w:ascii="Arial" w:hAnsi="Arial" w:cs="Arial"/>
                <w:color w:val="000000"/>
                <w:sz w:val="22"/>
                <w:szCs w:val="22"/>
                <w:lang w:val="en-GB"/>
              </w:rPr>
              <w:t>Pantůček R, Adriaenssens EM, Kropinski AM, Łobocka M</w:t>
            </w:r>
          </w:p>
          <w:p w:rsidR="00782A25" w:rsidRDefault="00782A25">
            <w:pPr>
              <w:pStyle w:val="BodyTextIndent"/>
              <w:ind w:left="0" w:firstLine="0"/>
              <w:rPr>
                <w:rFonts w:ascii="Arial" w:hAnsi="Arial" w:cs="Arial"/>
                <w:color w:val="0000FF"/>
                <w:sz w:val="20"/>
              </w:rPr>
            </w:pPr>
          </w:p>
          <w:p w:rsidR="00782A25" w:rsidRDefault="00782A25">
            <w:pPr>
              <w:pStyle w:val="BodyTextIndent"/>
              <w:ind w:left="0" w:firstLine="0"/>
              <w:rPr>
                <w:rFonts w:ascii="Arial" w:hAnsi="Arial" w:cs="Arial"/>
                <w:color w:val="0000FF"/>
                <w:sz w:val="20"/>
              </w:rPr>
            </w:pP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rsidR="00782A25" w:rsidRDefault="00782A25">
            <w:pPr>
              <w:jc w:val="both"/>
              <w:rPr>
                <w:rFonts w:ascii="Arial" w:hAnsi="Arial" w:cs="Arial"/>
                <w:color w:val="0000FF"/>
                <w:sz w:val="20"/>
              </w:rPr>
            </w:pPr>
          </w:p>
          <w:p w:rsidR="00456E47" w:rsidRDefault="006C7A21">
            <w:pPr>
              <w:jc w:val="both"/>
              <w:rPr>
                <w:rFonts w:ascii="Arial" w:hAnsi="Arial" w:cs="Arial"/>
                <w:color w:val="000000" w:themeColor="text1"/>
                <w:sz w:val="20"/>
                <w:lang w:val="en-GB"/>
              </w:rPr>
            </w:pPr>
            <w:hyperlink r:id="rId9" w:history="1">
              <w:r w:rsidR="00456E47" w:rsidRPr="00287749">
                <w:rPr>
                  <w:rStyle w:val="Hyperlink"/>
                  <w:rFonts w:ascii="Arial" w:hAnsi="Arial" w:cs="Arial"/>
                  <w:sz w:val="20"/>
                  <w:lang w:val="en-GB"/>
                </w:rPr>
                <w:t>michal.zeman91@gmail.com</w:t>
              </w:r>
            </w:hyperlink>
            <w:r w:rsidR="00456E47">
              <w:rPr>
                <w:rFonts w:ascii="Arial" w:hAnsi="Arial" w:cs="Arial"/>
                <w:color w:val="000000" w:themeColor="text1"/>
                <w:sz w:val="20"/>
                <w:lang w:val="en-GB"/>
              </w:rPr>
              <w:t>;</w:t>
            </w:r>
          </w:p>
          <w:p w:rsidR="00456E47" w:rsidRDefault="006C7A21">
            <w:pPr>
              <w:jc w:val="both"/>
              <w:rPr>
                <w:rFonts w:ascii="Arial" w:hAnsi="Arial" w:cs="Arial"/>
                <w:color w:val="000000" w:themeColor="text1"/>
                <w:sz w:val="20"/>
                <w:lang w:val="en-GB"/>
              </w:rPr>
            </w:pPr>
            <w:hyperlink r:id="rId10" w:history="1">
              <w:r w:rsidR="00456E47" w:rsidRPr="00287749">
                <w:rPr>
                  <w:rStyle w:val="Hyperlink"/>
                  <w:rFonts w:ascii="Arial" w:hAnsi="Arial" w:cs="Arial"/>
                  <w:sz w:val="20"/>
                  <w:lang w:val="en-GB"/>
                </w:rPr>
                <w:t>bardy.pavol@mail.muni.cz</w:t>
              </w:r>
            </w:hyperlink>
            <w:r w:rsidR="00456E47">
              <w:rPr>
                <w:rFonts w:ascii="Arial" w:hAnsi="Arial" w:cs="Arial"/>
                <w:color w:val="000000" w:themeColor="text1"/>
                <w:sz w:val="20"/>
                <w:lang w:val="en-GB"/>
              </w:rPr>
              <w:t>;</w:t>
            </w:r>
          </w:p>
          <w:p w:rsidR="00456E47" w:rsidRDefault="006C7A21">
            <w:pPr>
              <w:jc w:val="both"/>
              <w:rPr>
                <w:rFonts w:ascii="Arial" w:hAnsi="Arial" w:cs="Arial"/>
                <w:color w:val="000000" w:themeColor="text1"/>
                <w:sz w:val="20"/>
                <w:lang w:val="en-GB"/>
              </w:rPr>
            </w:pPr>
            <w:hyperlink r:id="rId11" w:history="1">
              <w:r w:rsidR="00456E47" w:rsidRPr="00287749">
                <w:rPr>
                  <w:rStyle w:val="Hyperlink"/>
                  <w:rFonts w:ascii="Arial" w:hAnsi="Arial" w:cs="Arial"/>
                  <w:sz w:val="20"/>
                  <w:lang w:val="en-GB"/>
                </w:rPr>
                <w:t>veronika.vrbovska@gmail.com</w:t>
              </w:r>
            </w:hyperlink>
            <w:r w:rsidR="00456E47">
              <w:rPr>
                <w:rFonts w:ascii="Arial" w:hAnsi="Arial" w:cs="Arial"/>
                <w:color w:val="000000" w:themeColor="text1"/>
                <w:sz w:val="20"/>
                <w:lang w:val="en-GB"/>
              </w:rPr>
              <w:t>;</w:t>
            </w:r>
          </w:p>
          <w:p w:rsidR="00456E47" w:rsidRDefault="006C7A21">
            <w:pPr>
              <w:jc w:val="both"/>
              <w:rPr>
                <w:rFonts w:ascii="Arial" w:hAnsi="Arial" w:cs="Arial"/>
                <w:color w:val="000000" w:themeColor="text1"/>
                <w:sz w:val="20"/>
                <w:lang w:val="en-GB"/>
              </w:rPr>
            </w:pPr>
            <w:hyperlink r:id="rId12" w:history="1">
              <w:r w:rsidR="00456E47" w:rsidRPr="00287749">
                <w:rPr>
                  <w:rStyle w:val="Hyperlink"/>
                  <w:rFonts w:ascii="Arial" w:hAnsi="Arial" w:cs="Arial"/>
                  <w:sz w:val="20"/>
                  <w:lang w:val="en-GB"/>
                </w:rPr>
                <w:t>pantucek@sci.muni.cz</w:t>
              </w:r>
            </w:hyperlink>
            <w:r w:rsidR="00456E47">
              <w:rPr>
                <w:rFonts w:ascii="Arial" w:hAnsi="Arial" w:cs="Arial"/>
                <w:color w:val="000000" w:themeColor="text1"/>
                <w:sz w:val="20"/>
                <w:lang w:val="en-GB"/>
              </w:rPr>
              <w:t>;</w:t>
            </w:r>
          </w:p>
          <w:p w:rsidR="00782A25" w:rsidRDefault="006C7A21">
            <w:pPr>
              <w:jc w:val="both"/>
            </w:pPr>
            <w:hyperlink r:id="rId13" w:history="1">
              <w:r w:rsidR="00456E47" w:rsidRPr="00287749">
                <w:rPr>
                  <w:rStyle w:val="Hyperlink"/>
                  <w:rFonts w:ascii="Arial" w:hAnsi="Arial" w:cs="Arial"/>
                  <w:sz w:val="20"/>
                  <w:lang w:val="en-GB"/>
                </w:rPr>
                <w:t>Evelien.adriaenssens@quadram.ac.uk</w:t>
              </w:r>
            </w:hyperlink>
            <w:r w:rsidR="0029704B">
              <w:rPr>
                <w:rFonts w:ascii="Arial" w:hAnsi="Arial" w:cs="Arial"/>
                <w:color w:val="000000" w:themeColor="text1"/>
                <w:sz w:val="20"/>
                <w:lang w:val="en-GB"/>
              </w:rPr>
              <w:t xml:space="preserve">; </w:t>
            </w:r>
            <w:hyperlink r:id="rId14">
              <w:bookmarkStart w:id="0" w:name="__DdeLink__672_2366609530"/>
              <w:r w:rsidR="0029704B">
                <w:rPr>
                  <w:rStyle w:val="InternetLink"/>
                  <w:rFonts w:ascii="Arial" w:hAnsi="Arial" w:cs="Arial"/>
                  <w:sz w:val="20"/>
                  <w:lang w:val="en-GB"/>
                </w:rPr>
                <w:t>phage.canada@gmail.com</w:t>
              </w:r>
            </w:hyperlink>
            <w:r w:rsidR="0029704B">
              <w:rPr>
                <w:rFonts w:ascii="Arial" w:hAnsi="Arial" w:cs="Arial"/>
                <w:color w:val="000000" w:themeColor="text1"/>
                <w:sz w:val="20"/>
                <w:lang w:val="en-GB"/>
              </w:rPr>
              <w:t>;</w:t>
            </w:r>
            <w:bookmarkEnd w:id="0"/>
          </w:p>
          <w:p w:rsidR="00782A25" w:rsidRDefault="0029704B">
            <w:pPr>
              <w:jc w:val="both"/>
            </w:pPr>
            <w:r>
              <w:rPr>
                <w:rStyle w:val="InternetLink"/>
                <w:rFonts w:ascii="Arial" w:hAnsi="Arial" w:cs="Arial"/>
                <w:sz w:val="20"/>
                <w:lang w:val="en-GB"/>
              </w:rPr>
              <w:t>lobocka</w:t>
            </w:r>
            <w:hyperlink r:id="rId15">
              <w:r>
                <w:rPr>
                  <w:rStyle w:val="InternetLink"/>
                  <w:rFonts w:ascii="Arial" w:hAnsi="Arial" w:cs="Arial"/>
                  <w:sz w:val="20"/>
                  <w:lang w:val="en-GB"/>
                </w:rPr>
                <w:t>@</w:t>
              </w:r>
            </w:hyperlink>
            <w:r>
              <w:rPr>
                <w:rStyle w:val="InternetLink"/>
                <w:rFonts w:ascii="Arial" w:hAnsi="Arial" w:cs="Arial"/>
                <w:sz w:val="20"/>
                <w:lang w:val="en-GB"/>
              </w:rPr>
              <w:t>ibb.waw.pl</w:t>
            </w:r>
          </w:p>
          <w:p w:rsidR="00782A25" w:rsidRDefault="00782A25">
            <w:pPr>
              <w:jc w:val="both"/>
              <w:rPr>
                <w:rFonts w:ascii="Arial" w:hAnsi="Arial" w:cs="Arial"/>
                <w:color w:val="000000" w:themeColor="text1"/>
                <w:sz w:val="20"/>
                <w:lang w:val="en-GB"/>
              </w:rPr>
            </w:pPr>
          </w:p>
        </w:tc>
      </w:tr>
      <w:tr w:rsidR="00782A25">
        <w:tc>
          <w:tcPr>
            <w:tcW w:w="9596" w:type="dxa"/>
            <w:gridSpan w:val="4"/>
            <w:shd w:val="clear" w:color="auto" w:fill="auto"/>
          </w:tcPr>
          <w:p w:rsidR="00782A25" w:rsidRDefault="0029704B">
            <w:pPr>
              <w:spacing w:before="120" w:after="120"/>
              <w:rPr>
                <w:rFonts w:ascii="Arial" w:hAnsi="Arial" w:cs="Arial"/>
                <w:b/>
              </w:rPr>
            </w:pPr>
            <w:r>
              <w:rPr>
                <w:rFonts w:ascii="Arial" w:hAnsi="Arial" w:cs="Arial"/>
                <w:b/>
              </w:rPr>
              <w:t>Author(s) institutional address(es) (optional):</w:t>
            </w:r>
          </w:p>
          <w:tbl>
            <w:tblPr>
              <w:tblStyle w:val="TableGrid"/>
              <w:tblW w:w="9370" w:type="dxa"/>
              <w:tblCellMar>
                <w:left w:w="103" w:type="dxa"/>
              </w:tblCellMar>
              <w:tblLook w:val="04A0" w:firstRow="1" w:lastRow="0" w:firstColumn="1" w:lastColumn="0" w:noHBand="0" w:noVBand="1"/>
            </w:tblPr>
            <w:tblGrid>
              <w:gridCol w:w="9370"/>
            </w:tblGrid>
            <w:tr w:rsidR="00782A25">
              <w:tc>
                <w:tcPr>
                  <w:tcW w:w="9370" w:type="dxa"/>
                  <w:shd w:val="clear" w:color="auto" w:fill="auto"/>
                </w:tcPr>
                <w:p w:rsidR="00782A25" w:rsidRDefault="0029704B">
                  <w:pPr>
                    <w:spacing w:before="120" w:after="120"/>
                    <w:rPr>
                      <w:rFonts w:ascii="Arial" w:hAnsi="Arial" w:cs="Arial"/>
                      <w:color w:val="1E1BA5"/>
                      <w:sz w:val="20"/>
                      <w:szCs w:val="20"/>
                    </w:rPr>
                  </w:pPr>
                  <w:r>
                    <w:rPr>
                      <w:rFonts w:ascii="Arial" w:hAnsi="Arial" w:cs="Arial"/>
                      <w:color w:val="0000FF"/>
                      <w:sz w:val="20"/>
                      <w:szCs w:val="20"/>
                    </w:rPr>
                    <w:t>Provide institutional addresses, each on a single line followed by author(s) initials (e.g. University of Woolloomooloo [SAB, HCL])</w:t>
                  </w:r>
                </w:p>
              </w:tc>
            </w:tr>
            <w:tr w:rsidR="00782A25">
              <w:tc>
                <w:tcPr>
                  <w:tcW w:w="9370" w:type="dxa"/>
                  <w:shd w:val="clear" w:color="auto" w:fill="auto"/>
                </w:tcPr>
                <w:p w:rsidR="002421BD" w:rsidRDefault="00456E47">
                  <w:pPr>
                    <w:spacing w:before="120" w:after="120"/>
                    <w:rPr>
                      <w:rFonts w:ascii="Arial" w:hAnsi="Arial" w:cs="Arial"/>
                      <w:b/>
                    </w:rPr>
                  </w:pPr>
                  <w:r w:rsidRPr="00456E47">
                    <w:rPr>
                      <w:rFonts w:ascii="Arial" w:hAnsi="Arial" w:cs="Arial"/>
                      <w:b/>
                    </w:rPr>
                    <w:t>Department of Experimental Biology</w:t>
                  </w:r>
                  <w:r>
                    <w:rPr>
                      <w:rFonts w:ascii="Arial" w:hAnsi="Arial" w:cs="Arial"/>
                      <w:b/>
                    </w:rPr>
                    <w:t xml:space="preserve">, </w:t>
                  </w:r>
                  <w:r w:rsidR="0029704B">
                    <w:rPr>
                      <w:rFonts w:ascii="Arial" w:hAnsi="Arial" w:cs="Arial"/>
                      <w:b/>
                    </w:rPr>
                    <w:t>Masaryk University, Czech Republic [MZ, PB, VV, RP]</w:t>
                  </w:r>
                </w:p>
                <w:p w:rsidR="002421BD" w:rsidRDefault="002421BD">
                  <w:pPr>
                    <w:spacing w:before="120" w:after="120"/>
                    <w:rPr>
                      <w:rFonts w:ascii="Arial" w:hAnsi="Arial" w:cs="Arial"/>
                      <w:b/>
                    </w:rPr>
                  </w:pPr>
                  <w:r>
                    <w:rPr>
                      <w:rFonts w:ascii="Arial" w:hAnsi="Arial" w:cs="Arial"/>
                      <w:b/>
                    </w:rPr>
                    <w:t>Quadram Institute Bioscience, UK [EMA]</w:t>
                  </w:r>
                </w:p>
                <w:p w:rsidR="002421BD" w:rsidRPr="002421BD" w:rsidRDefault="002421BD">
                  <w:pPr>
                    <w:spacing w:before="120" w:after="120"/>
                    <w:rPr>
                      <w:rFonts w:ascii="Arial" w:hAnsi="Arial" w:cs="Arial"/>
                      <w:b/>
                    </w:rPr>
                  </w:pPr>
                  <w:r>
                    <w:rPr>
                      <w:rFonts w:ascii="Arial" w:hAnsi="Arial" w:cs="Arial"/>
                      <w:b/>
                    </w:rPr>
                    <w:t>University of Guelph, Canada [AMK]</w:t>
                  </w:r>
                </w:p>
                <w:p w:rsidR="002421BD" w:rsidRPr="002421BD" w:rsidRDefault="0029704B">
                  <w:pPr>
                    <w:spacing w:before="120" w:after="120"/>
                    <w:rPr>
                      <w:rFonts w:ascii="Arial" w:hAnsi="Arial" w:cs="Arial"/>
                      <w:b/>
                    </w:rPr>
                  </w:pPr>
                  <w:r>
                    <w:rPr>
                      <w:rFonts w:ascii="Arial" w:hAnsi="Arial" w:cs="Arial"/>
                      <w:b/>
                    </w:rPr>
                    <w:t>Institute of Biochemistry and Biophysics, PAS, Poland [MŁ]</w:t>
                  </w:r>
                </w:p>
                <w:p w:rsidR="00782A25" w:rsidRDefault="00782A25">
                  <w:pPr>
                    <w:spacing w:before="120" w:after="120"/>
                    <w:rPr>
                      <w:rFonts w:ascii="Arial" w:hAnsi="Arial" w:cs="Arial"/>
                      <w:b/>
                    </w:rPr>
                  </w:pPr>
                </w:p>
              </w:tc>
            </w:tr>
          </w:tbl>
          <w:p w:rsidR="00782A25" w:rsidRDefault="00782A25">
            <w:pPr>
              <w:spacing w:before="120" w:after="120"/>
              <w:rPr>
                <w:rFonts w:ascii="Arial" w:hAnsi="Arial" w:cs="Arial"/>
                <w:b/>
              </w:rPr>
            </w:pPr>
          </w:p>
        </w:tc>
      </w:tr>
      <w:tr w:rsidR="00782A25">
        <w:tc>
          <w:tcPr>
            <w:tcW w:w="9596" w:type="dxa"/>
            <w:gridSpan w:val="4"/>
            <w:shd w:val="clear" w:color="auto" w:fill="auto"/>
          </w:tcPr>
          <w:p w:rsidR="00782A25" w:rsidRDefault="0029704B">
            <w:pPr>
              <w:spacing w:before="120" w:after="120"/>
              <w:rPr>
                <w:rFonts w:ascii="Arial" w:hAnsi="Arial" w:cs="Arial"/>
                <w:b/>
              </w:rPr>
            </w:pPr>
            <w:r>
              <w:rPr>
                <w:rFonts w:ascii="Arial" w:hAnsi="Arial" w:cs="Arial"/>
                <w:b/>
              </w:rPr>
              <w:t>Corresponding author</w:t>
            </w:r>
          </w:p>
        </w:tc>
      </w:tr>
      <w:tr w:rsidR="00782A25">
        <w:trPr>
          <w:trHeight w:val="319"/>
        </w:trPr>
        <w:tc>
          <w:tcPr>
            <w:tcW w:w="9596" w:type="dxa"/>
            <w:gridSpan w:val="4"/>
            <w:tcBorders>
              <w:top w:val="single" w:sz="4" w:space="0" w:color="000000"/>
              <w:left w:val="single" w:sz="4" w:space="0" w:color="000000"/>
              <w:bottom w:val="single" w:sz="4" w:space="0" w:color="000000"/>
              <w:right w:val="single" w:sz="4" w:space="0" w:color="000000"/>
            </w:tcBorders>
            <w:shd w:val="clear" w:color="auto" w:fill="auto"/>
          </w:tcPr>
          <w:p w:rsidR="00782A25" w:rsidRDefault="0029704B">
            <w:pPr>
              <w:pStyle w:val="BodyTextIndent"/>
              <w:ind w:left="0" w:firstLine="0"/>
              <w:rPr>
                <w:rFonts w:ascii="Arial" w:hAnsi="Arial" w:cs="Arial"/>
                <w:color w:val="000000"/>
              </w:rPr>
            </w:pPr>
            <w:r>
              <w:rPr>
                <w:rFonts w:ascii="Arial" w:hAnsi="Arial" w:cs="Arial"/>
                <w:color w:val="000000"/>
              </w:rPr>
              <w:t>Michal Zeman</w:t>
            </w:r>
          </w:p>
          <w:p w:rsidR="00782A25" w:rsidRDefault="00782A25">
            <w:pPr>
              <w:pStyle w:val="BodyTextIndent"/>
              <w:ind w:left="0" w:firstLine="0"/>
              <w:rPr>
                <w:rFonts w:ascii="Arial" w:hAnsi="Arial" w:cs="Arial"/>
                <w:color w:val="000000"/>
              </w:rPr>
            </w:pPr>
          </w:p>
        </w:tc>
      </w:tr>
      <w:tr w:rsidR="00782A25">
        <w:tc>
          <w:tcPr>
            <w:tcW w:w="9596" w:type="dxa"/>
            <w:gridSpan w:val="4"/>
            <w:shd w:val="clear" w:color="auto" w:fill="auto"/>
          </w:tcPr>
          <w:p w:rsidR="00782A25" w:rsidRDefault="0029704B">
            <w:pPr>
              <w:spacing w:before="120" w:after="120"/>
              <w:rPr>
                <w:rFonts w:ascii="Arial" w:hAnsi="Arial" w:cs="Arial"/>
                <w:b/>
              </w:rPr>
            </w:pPr>
            <w:r>
              <w:rPr>
                <w:rFonts w:ascii="Arial" w:hAnsi="Arial" w:cs="Arial"/>
                <w:b/>
              </w:rPr>
              <w:lastRenderedPageBreak/>
              <w:t>List the ICTV study group(s) that have seen this proposal:</w:t>
            </w:r>
          </w:p>
        </w:tc>
      </w:tr>
      <w:tr w:rsidR="00782A25">
        <w:tc>
          <w:tcPr>
            <w:tcW w:w="4875" w:type="dxa"/>
            <w:gridSpan w:val="2"/>
            <w:tcBorders>
              <w:top w:val="single" w:sz="4" w:space="0" w:color="000000"/>
              <w:left w:val="single" w:sz="4" w:space="0" w:color="000000"/>
              <w:bottom w:val="single" w:sz="4" w:space="0" w:color="000000"/>
              <w:right w:val="single" w:sz="4" w:space="0" w:color="000000"/>
            </w:tcBorders>
            <w:shd w:val="clear" w:color="auto" w:fill="auto"/>
          </w:tcPr>
          <w:p w:rsidR="00782A25" w:rsidRDefault="0029704B">
            <w:pPr>
              <w:pStyle w:val="BodyTextIndent"/>
              <w:ind w:left="0" w:firstLine="0"/>
            </w:pPr>
            <w:r>
              <w:rPr>
                <w:rFonts w:ascii="Arial" w:hAnsi="Arial" w:cs="Arial"/>
                <w:color w:val="0000FF"/>
                <w:sz w:val="20"/>
              </w:rPr>
              <w:t xml:space="preserve">A list of study groups and contacts is provided at </w:t>
            </w:r>
            <w:hyperlink r:id="rId16">
              <w:r>
                <w:rPr>
                  <w:rStyle w:val="InternetLink"/>
                  <w:rFonts w:ascii="Arial" w:hAnsi="Arial" w:cs="Arial"/>
                  <w:sz w:val="20"/>
                </w:rPr>
                <w:t>http://www.ictvonline.org/subcommittees.asp</w:t>
              </w:r>
            </w:hyperlink>
            <w:r>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2A25" w:rsidRDefault="0029704B">
            <w:pPr>
              <w:jc w:val="both"/>
              <w:rPr>
                <w:rFonts w:ascii="Arial" w:hAnsi="Arial" w:cs="Arial"/>
                <w:b/>
                <w:lang w:val="en-GB"/>
              </w:rPr>
            </w:pPr>
            <w:r>
              <w:rPr>
                <w:rFonts w:ascii="Arial" w:hAnsi="Arial" w:cs="Arial"/>
                <w:b/>
                <w:lang w:val="en-GB"/>
              </w:rPr>
              <w:t>Bacterial and Archaeal Viruses Subcommittee</w:t>
            </w:r>
          </w:p>
          <w:p w:rsidR="00782A25" w:rsidRDefault="0029704B">
            <w:pPr>
              <w:jc w:val="both"/>
              <w:rPr>
                <w:rFonts w:ascii="Arial" w:hAnsi="Arial" w:cs="Arial"/>
                <w:b/>
              </w:rPr>
            </w:pPr>
            <w:r>
              <w:rPr>
                <w:rFonts w:ascii="Arial" w:hAnsi="Arial" w:cs="Arial"/>
                <w:b/>
              </w:rPr>
              <w:t>Caudovirales Study Group</w:t>
            </w:r>
          </w:p>
          <w:p w:rsidR="00782A25" w:rsidRDefault="00782A25">
            <w:pPr>
              <w:jc w:val="both"/>
              <w:rPr>
                <w:rFonts w:ascii="Arial" w:hAnsi="Arial" w:cs="Arial"/>
                <w:b/>
              </w:rPr>
            </w:pPr>
          </w:p>
        </w:tc>
      </w:tr>
      <w:tr w:rsidR="00782A25">
        <w:tc>
          <w:tcPr>
            <w:tcW w:w="9596" w:type="dxa"/>
            <w:gridSpan w:val="4"/>
            <w:shd w:val="clear" w:color="auto" w:fill="auto"/>
          </w:tcPr>
          <w:p w:rsidR="00782A25" w:rsidRDefault="00782A25">
            <w:pPr>
              <w:spacing w:before="120" w:after="120"/>
              <w:rPr>
                <w:rFonts w:ascii="Arial" w:hAnsi="Arial" w:cs="Arial"/>
                <w:b/>
              </w:rPr>
            </w:pPr>
          </w:p>
          <w:p w:rsidR="00782A25" w:rsidRDefault="0029704B">
            <w:pPr>
              <w:spacing w:before="120" w:after="120"/>
              <w:rPr>
                <w:rFonts w:ascii="Arial" w:hAnsi="Arial" w:cs="Arial"/>
                <w:b/>
              </w:rPr>
            </w:pPr>
            <w:r>
              <w:rPr>
                <w:rFonts w:ascii="Arial" w:hAnsi="Arial" w:cs="Arial"/>
                <w:b/>
              </w:rPr>
              <w:t>ICTV Study Group comments (if any) and response of the proposer:</w:t>
            </w:r>
          </w:p>
        </w:tc>
      </w:tr>
      <w:tr w:rsidR="00782A25">
        <w:trPr>
          <w:trHeight w:val="428"/>
        </w:trPr>
        <w:tc>
          <w:tcPr>
            <w:tcW w:w="9596" w:type="dxa"/>
            <w:gridSpan w:val="4"/>
            <w:tcBorders>
              <w:top w:val="single" w:sz="4" w:space="0" w:color="000000"/>
              <w:bottom w:val="single" w:sz="4" w:space="0" w:color="000000"/>
            </w:tcBorders>
            <w:shd w:val="clear" w:color="auto" w:fill="auto"/>
          </w:tcPr>
          <w:p w:rsidR="00782A25" w:rsidRDefault="0029704B">
            <w:pPr>
              <w:pStyle w:val="BodyTextIndent"/>
              <w:ind w:left="0" w:firstLine="0"/>
            </w:pPr>
            <w:r>
              <w:fldChar w:fldCharType="begin">
                <w:ffData>
                  <w:name w:val="Text8"/>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 w:name="Text8"/>
            <w:bookmarkEnd w:id="1"/>
            <w:r>
              <w:rPr>
                <w:rFonts w:ascii="Arial" w:hAnsi="Arial" w:cs="Arial"/>
                <w:color w:val="000000"/>
              </w:rPr>
              <w:t>     </w:t>
            </w:r>
            <w:r>
              <w:rPr>
                <w:rFonts w:ascii="Arial" w:hAnsi="Arial" w:cs="Arial"/>
              </w:rPr>
              <w:fldChar w:fldCharType="end"/>
            </w:r>
          </w:p>
        </w:tc>
      </w:tr>
      <w:tr w:rsidR="00782A25">
        <w:trPr>
          <w:trHeight w:val="270"/>
        </w:trPr>
        <w:tc>
          <w:tcPr>
            <w:tcW w:w="9596" w:type="dxa"/>
            <w:gridSpan w:val="4"/>
            <w:tcBorders>
              <w:top w:val="single" w:sz="4" w:space="0" w:color="000000"/>
            </w:tcBorders>
            <w:shd w:val="clear" w:color="auto" w:fill="auto"/>
          </w:tcPr>
          <w:p w:rsidR="00782A25" w:rsidRDefault="00782A25">
            <w:pPr>
              <w:pStyle w:val="BodyTextIndent"/>
              <w:ind w:left="0" w:firstLine="0"/>
              <w:rPr>
                <w:rFonts w:ascii="Arial" w:hAnsi="Arial" w:cs="Arial"/>
                <w:color w:val="000000"/>
              </w:rPr>
            </w:pPr>
          </w:p>
        </w:tc>
      </w:tr>
      <w:tr w:rsidR="00782A25">
        <w:trPr>
          <w:trHeight w:val="270"/>
        </w:trPr>
        <w:tc>
          <w:tcPr>
            <w:tcW w:w="6931" w:type="dxa"/>
            <w:gridSpan w:val="3"/>
            <w:shd w:val="clear" w:color="auto" w:fill="auto"/>
          </w:tcPr>
          <w:p w:rsidR="00782A25" w:rsidRDefault="0029704B">
            <w:pPr>
              <w:pStyle w:val="BodyTextIndent"/>
              <w:ind w:left="0" w:firstLine="0"/>
              <w:rPr>
                <w:rFonts w:ascii="Arial" w:hAnsi="Arial" w:cs="Arial"/>
              </w:rPr>
            </w:pPr>
            <w:r>
              <w:rPr>
                <w:rFonts w:ascii="Arial" w:hAnsi="Arial" w:cs="Arial"/>
              </w:rPr>
              <w:t>Date first submitted to ICTV:</w:t>
            </w:r>
          </w:p>
        </w:tc>
        <w:tc>
          <w:tcPr>
            <w:tcW w:w="2665" w:type="dxa"/>
            <w:shd w:val="clear" w:color="auto" w:fill="auto"/>
          </w:tcPr>
          <w:p w:rsidR="00782A25" w:rsidRDefault="0029704B">
            <w:pPr>
              <w:pStyle w:val="BodyTextIndent"/>
              <w:ind w:left="0" w:firstLine="0"/>
              <w:rPr>
                <w:rFonts w:ascii="Arial" w:hAnsi="Arial" w:cs="Arial"/>
                <w:color w:val="000000"/>
              </w:rPr>
            </w:pPr>
            <w:r>
              <w:rPr>
                <w:rFonts w:ascii="Arial" w:hAnsi="Arial" w:cs="Arial"/>
                <w:color w:val="000000"/>
              </w:rPr>
              <w:t>Mar 2019</w:t>
            </w:r>
          </w:p>
        </w:tc>
      </w:tr>
      <w:tr w:rsidR="00782A25">
        <w:trPr>
          <w:trHeight w:val="270"/>
        </w:trPr>
        <w:tc>
          <w:tcPr>
            <w:tcW w:w="6931" w:type="dxa"/>
            <w:gridSpan w:val="3"/>
            <w:tcBorders>
              <w:bottom w:val="single" w:sz="4" w:space="0" w:color="000000"/>
            </w:tcBorders>
            <w:shd w:val="clear" w:color="auto" w:fill="auto"/>
          </w:tcPr>
          <w:p w:rsidR="00782A25" w:rsidRDefault="0029704B">
            <w:pPr>
              <w:pStyle w:val="BodyTextIndent"/>
              <w:ind w:left="0" w:firstLine="0"/>
              <w:rPr>
                <w:rFonts w:ascii="Arial" w:hAnsi="Arial" w:cs="Arial"/>
              </w:rPr>
            </w:pPr>
            <w:r>
              <w:rPr>
                <w:rFonts w:ascii="Arial" w:hAnsi="Arial" w:cs="Arial"/>
              </w:rPr>
              <w:t>Date of this revision (if different to above):</w:t>
            </w:r>
          </w:p>
        </w:tc>
        <w:tc>
          <w:tcPr>
            <w:tcW w:w="2665" w:type="dxa"/>
            <w:tcBorders>
              <w:bottom w:val="single" w:sz="4" w:space="0" w:color="000000"/>
            </w:tcBorders>
            <w:shd w:val="clear" w:color="auto" w:fill="auto"/>
          </w:tcPr>
          <w:p w:rsidR="00782A25" w:rsidRDefault="0029704B">
            <w:pPr>
              <w:pStyle w:val="BodyTextIndent"/>
              <w:ind w:left="0" w:firstLine="0"/>
            </w:pPr>
            <w:r>
              <w:fldChar w:fldCharType="begin">
                <w:ffData>
                  <w:name w:val="Text17"/>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2" w:name="Text17"/>
            <w:bookmarkEnd w:id="2"/>
            <w:r>
              <w:rPr>
                <w:rFonts w:ascii="Arial" w:hAnsi="Arial" w:cs="Arial"/>
                <w:color w:val="000000"/>
              </w:rPr>
              <w:t>     </w:t>
            </w:r>
            <w:r>
              <w:rPr>
                <w:rFonts w:ascii="Arial" w:hAnsi="Arial" w:cs="Arial"/>
              </w:rPr>
              <w:fldChar w:fldCharType="end"/>
            </w:r>
          </w:p>
        </w:tc>
      </w:tr>
    </w:tbl>
    <w:p w:rsidR="00782A25" w:rsidRDefault="00782A25">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782A25">
        <w:tc>
          <w:tcPr>
            <w:tcW w:w="9468" w:type="dxa"/>
            <w:shd w:val="clear" w:color="auto" w:fill="auto"/>
          </w:tcPr>
          <w:p w:rsidR="00782A25" w:rsidRDefault="0029704B">
            <w:pPr>
              <w:spacing w:before="120" w:after="120"/>
              <w:rPr>
                <w:rFonts w:ascii="Arial" w:hAnsi="Arial" w:cs="Arial"/>
                <w:b/>
              </w:rPr>
            </w:pPr>
            <w:r>
              <w:rPr>
                <w:rFonts w:ascii="Arial" w:hAnsi="Arial" w:cs="Arial"/>
                <w:b/>
              </w:rPr>
              <w:t>ICTV-EC comments and response of the proposer:</w:t>
            </w:r>
          </w:p>
        </w:tc>
      </w:tr>
      <w:tr w:rsidR="00782A25">
        <w:trPr>
          <w:trHeight w:val="487"/>
        </w:trPr>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782A25" w:rsidRDefault="0029704B">
            <w:pPr>
              <w:pStyle w:val="BodyTextIndent"/>
              <w:ind w:left="0" w:firstLine="0"/>
            </w:pPr>
            <w:r>
              <w:fldChar w:fldCharType="begin">
                <w:ffData>
                  <w:name w:val="__Fieldmark__234_236"/>
                  <w:enabled/>
                  <w:calcOnExit w:val="0"/>
                  <w:textInput/>
                </w:ffData>
              </w:fldChar>
            </w:r>
            <w:r>
              <w:instrText>FORMTEXT</w:instrText>
            </w:r>
            <w:r>
              <w:fldChar w:fldCharType="separate"/>
            </w:r>
            <w:bookmarkStart w:id="3" w:name="__Fieldmark__234_2366609530"/>
            <w:bookmarkEnd w:id="3"/>
            <w:r>
              <w:t>     </w:t>
            </w:r>
            <w:r>
              <w:fldChar w:fldCharType="end"/>
            </w:r>
          </w:p>
        </w:tc>
      </w:tr>
    </w:tbl>
    <w:p w:rsidR="00782A25" w:rsidRDefault="00782A25">
      <w:pPr>
        <w:pStyle w:val="BodyTextIndent"/>
        <w:spacing w:after="120"/>
        <w:ind w:left="0" w:firstLine="0"/>
        <w:rPr>
          <w:rFonts w:ascii="Arial" w:hAnsi="Arial" w:cs="Arial"/>
          <w:b/>
          <w:color w:val="000000"/>
          <w:sz w:val="20"/>
        </w:rPr>
      </w:pPr>
    </w:p>
    <w:p w:rsidR="00782A25" w:rsidRDefault="0029704B">
      <w:pPr>
        <w:pStyle w:val="BodyTextIndent"/>
        <w:spacing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NON-STANDARD</w:t>
      </w:r>
    </w:p>
    <w:p w:rsidR="00782A25" w:rsidRDefault="0029704B">
      <w:pPr>
        <w:pStyle w:val="BodyTextIndent"/>
        <w:ind w:left="0" w:firstLine="0"/>
        <w:rPr>
          <w:rFonts w:ascii="Arial" w:hAnsi="Arial" w:cs="Arial"/>
          <w:color w:val="0000FF"/>
          <w:sz w:val="20"/>
        </w:rPr>
      </w:pPr>
      <w:r>
        <w:rPr>
          <w:rFonts w:ascii="Arial" w:hAnsi="Arial" w:cs="Arial"/>
          <w:color w:val="0000FF"/>
          <w:sz w:val="20"/>
        </w:rPr>
        <w:t xml:space="preserve">Template for any proposal regarding ICTV procedures, rules or policy, </w:t>
      </w:r>
      <w:r>
        <w:rPr>
          <w:rFonts w:ascii="Arial" w:hAnsi="Arial" w:cs="Arial"/>
          <w:color w:val="0000FF"/>
          <w:sz w:val="20"/>
          <w:u w:val="single"/>
        </w:rPr>
        <w:t>not</w:t>
      </w:r>
      <w:r>
        <w:rPr>
          <w:rFonts w:ascii="Arial" w:hAnsi="Arial" w:cs="Arial"/>
          <w:color w:val="0000FF"/>
          <w:sz w:val="20"/>
        </w:rPr>
        <w:t xml:space="preserve"> involving the creation of new taxonomy. </w:t>
      </w:r>
    </w:p>
    <w:tbl>
      <w:tblPr>
        <w:tblW w:w="9468" w:type="dxa"/>
        <w:tblLook w:val="04A0" w:firstRow="1" w:lastRow="0" w:firstColumn="1" w:lastColumn="0" w:noHBand="0" w:noVBand="1"/>
      </w:tblPr>
      <w:tblGrid>
        <w:gridCol w:w="9468"/>
      </w:tblGrid>
      <w:tr w:rsidR="00782A25">
        <w:trPr>
          <w:tblHeader/>
        </w:trPr>
        <w:tc>
          <w:tcPr>
            <w:tcW w:w="9468" w:type="dxa"/>
            <w:shd w:val="clear" w:color="auto" w:fill="auto"/>
          </w:tcPr>
          <w:p w:rsidR="00782A25" w:rsidRDefault="0029704B">
            <w:pPr>
              <w:spacing w:before="120" w:after="120"/>
              <w:rPr>
                <w:rFonts w:ascii="Arial" w:hAnsi="Arial" w:cs="Arial"/>
                <w:b/>
              </w:rPr>
            </w:pPr>
            <w:r>
              <w:rPr>
                <w:rFonts w:ascii="Arial" w:hAnsi="Arial" w:cs="Arial"/>
                <w:b/>
              </w:rPr>
              <w:t>Text of proposal:</w:t>
            </w:r>
          </w:p>
        </w:tc>
      </w:tr>
      <w:tr w:rsidR="00782A25">
        <w:trPr>
          <w:trHeight w:val="60"/>
        </w:trPr>
        <w:tc>
          <w:tcPr>
            <w:tcW w:w="9468" w:type="dxa"/>
            <w:tcBorders>
              <w:top w:val="single" w:sz="8" w:space="0" w:color="000000"/>
              <w:left w:val="single" w:sz="8" w:space="0" w:color="000000"/>
              <w:bottom w:val="single" w:sz="8" w:space="0" w:color="000000"/>
              <w:right w:val="single" w:sz="8" w:space="0" w:color="000000"/>
            </w:tcBorders>
            <w:shd w:val="clear" w:color="auto" w:fill="auto"/>
          </w:tcPr>
          <w:p w:rsidR="00782A25" w:rsidRDefault="00782A25">
            <w:pPr>
              <w:rPr>
                <w:rFonts w:ascii="Calibri" w:hAnsi="Calibri"/>
              </w:rPr>
            </w:pPr>
          </w:p>
          <w:p w:rsidR="00782A25" w:rsidRDefault="00782A25">
            <w:pPr>
              <w:rPr>
                <w:rFonts w:ascii="Calibri" w:hAnsi="Calibri"/>
                <w:color w:val="000000"/>
              </w:rPr>
            </w:pPr>
          </w:p>
          <w:p w:rsidR="00782A25" w:rsidRDefault="00782A25">
            <w:pPr>
              <w:pStyle w:val="BodyTextIndent"/>
              <w:ind w:left="0" w:firstLine="0"/>
              <w:rPr>
                <w:rFonts w:ascii="Times New Roman" w:hAnsi="Times New Roman"/>
                <w:color w:val="000000"/>
              </w:rPr>
            </w:pPr>
          </w:p>
        </w:tc>
      </w:tr>
    </w:tbl>
    <w:p w:rsidR="00782A25" w:rsidRDefault="00782A25">
      <w:pPr>
        <w:pStyle w:val="BodyTextIndent"/>
        <w:ind w:left="0" w:firstLine="0"/>
        <w:rPr>
          <w:rFonts w:ascii="Arial" w:hAnsi="Arial" w:cs="Arial"/>
          <w:color w:val="000000"/>
          <w:sz w:val="20"/>
        </w:rPr>
      </w:pPr>
    </w:p>
    <w:p w:rsidR="00782A25" w:rsidRDefault="00782A25">
      <w:pPr>
        <w:pStyle w:val="BodyTextIndent"/>
        <w:ind w:left="0" w:firstLine="0"/>
        <w:rPr>
          <w:rFonts w:ascii="Arial" w:hAnsi="Arial" w:cs="Arial"/>
          <w:color w:val="000000"/>
          <w:sz w:val="20"/>
        </w:rPr>
      </w:pPr>
    </w:p>
    <w:p w:rsidR="00782A25" w:rsidRDefault="00782A25">
      <w:pPr>
        <w:pStyle w:val="BodyTextIndent"/>
        <w:ind w:left="0" w:firstLine="0"/>
        <w:rPr>
          <w:rFonts w:ascii="Arial" w:hAnsi="Arial" w:cs="Arial"/>
          <w:color w:val="000000"/>
          <w:sz w:val="20"/>
        </w:rPr>
      </w:pPr>
    </w:p>
    <w:p w:rsidR="00782A25" w:rsidRDefault="0029704B">
      <w:pPr>
        <w:pStyle w:val="BodyTextIndent"/>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PROPOSED TAXONOMY</w:t>
      </w:r>
    </w:p>
    <w:p w:rsidR="00782A25" w:rsidRDefault="00782A25">
      <w:pPr>
        <w:pStyle w:val="BodyTextIndent"/>
        <w:ind w:left="0" w:firstLine="0"/>
        <w:rPr>
          <w:b/>
        </w:rPr>
      </w:pPr>
    </w:p>
    <w:tbl>
      <w:tblPr>
        <w:tblW w:w="9468" w:type="dxa"/>
        <w:tblBorders>
          <w:top w:val="sing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tblCellMar>
        <w:tblLook w:val="04A0" w:firstRow="1" w:lastRow="0" w:firstColumn="1" w:lastColumn="0" w:noHBand="0" w:noVBand="1"/>
      </w:tblPr>
      <w:tblGrid>
        <w:gridCol w:w="9468"/>
      </w:tblGrid>
      <w:tr w:rsidR="00782A25">
        <w:trPr>
          <w:trHeight w:val="598"/>
        </w:trPr>
        <w:tc>
          <w:tcPr>
            <w:tcW w:w="9468" w:type="dxa"/>
            <w:tcBorders>
              <w:top w:val="single" w:sz="4" w:space="0" w:color="000000"/>
              <w:left w:val="double" w:sz="4" w:space="0" w:color="000000"/>
              <w:bottom w:val="double" w:sz="4" w:space="0" w:color="000000"/>
              <w:right w:val="double" w:sz="4" w:space="0" w:color="000000"/>
            </w:tcBorders>
            <w:shd w:val="clear" w:color="auto" w:fill="FFFFFF"/>
          </w:tcPr>
          <w:p w:rsidR="00782A25" w:rsidRDefault="0029704B">
            <w:pPr>
              <w:spacing w:before="120"/>
              <w:rPr>
                <w:rFonts w:ascii="Arial" w:hAnsi="Arial" w:cs="Arial"/>
                <w:b/>
                <w:sz w:val="22"/>
                <w:szCs w:val="22"/>
              </w:rPr>
            </w:pPr>
            <w:r>
              <w:rPr>
                <w:rFonts w:ascii="Arial" w:hAnsi="Arial" w:cs="Arial"/>
                <w:b/>
                <w:sz w:val="22"/>
                <w:szCs w:val="22"/>
              </w:rPr>
              <w:t xml:space="preserve">Name of accompanying Excel module: </w:t>
            </w:r>
            <w:r w:rsidR="00E64A7D" w:rsidRPr="00E64A7D">
              <w:rPr>
                <w:rFonts w:ascii="Arial" w:hAnsi="Arial" w:cs="Arial"/>
                <w:bCs/>
                <w:sz w:val="22"/>
                <w:szCs w:val="22"/>
              </w:rPr>
              <w:t>2019.056B.</w:t>
            </w:r>
            <w:r w:rsidR="00D507D8">
              <w:rPr>
                <w:rFonts w:ascii="Arial" w:hAnsi="Arial" w:cs="Arial"/>
                <w:bCs/>
                <w:sz w:val="22"/>
                <w:szCs w:val="22"/>
              </w:rPr>
              <w:t>A</w:t>
            </w:r>
            <w:bookmarkStart w:id="4" w:name="_GoBack"/>
            <w:bookmarkEnd w:id="4"/>
            <w:r w:rsidR="00E64A7D" w:rsidRPr="00E64A7D">
              <w:rPr>
                <w:rFonts w:ascii="Arial" w:hAnsi="Arial" w:cs="Arial"/>
                <w:bCs/>
                <w:sz w:val="22"/>
                <w:szCs w:val="22"/>
              </w:rPr>
              <w:t>.v1.</w:t>
            </w:r>
            <w:r w:rsidRPr="00E64A7D">
              <w:rPr>
                <w:rFonts w:ascii="Arial" w:hAnsi="Arial" w:cs="Arial"/>
                <w:bCs/>
                <w:sz w:val="22"/>
                <w:szCs w:val="22"/>
              </w:rPr>
              <w:t>Fibralongavirus</w:t>
            </w:r>
            <w:r w:rsidR="00E64A7D" w:rsidRPr="00E64A7D">
              <w:rPr>
                <w:rFonts w:ascii="Arial" w:hAnsi="Arial" w:cs="Arial"/>
                <w:bCs/>
                <w:sz w:val="22"/>
                <w:szCs w:val="22"/>
              </w:rPr>
              <w:t>_1gen2sp</w:t>
            </w:r>
            <w:r w:rsidRPr="00E64A7D">
              <w:rPr>
                <w:rFonts w:ascii="Arial" w:hAnsi="Arial" w:cs="Arial"/>
                <w:bCs/>
                <w:sz w:val="22"/>
                <w:szCs w:val="22"/>
              </w:rPr>
              <w:t>.xlsx</w:t>
            </w:r>
          </w:p>
        </w:tc>
      </w:tr>
    </w:tbl>
    <w:p w:rsidR="00782A25" w:rsidRDefault="0029704B">
      <w:pPr>
        <w:pStyle w:val="BodyTextIndent"/>
        <w:spacing w:before="120" w:after="120"/>
        <w:ind w:left="0" w:firstLine="0"/>
        <w:rPr>
          <w:rFonts w:ascii="Arial" w:hAnsi="Arial" w:cs="Arial"/>
          <w:color w:val="0000FF"/>
          <w:sz w:val="20"/>
        </w:rPr>
      </w:pPr>
      <w:r>
        <w:rPr>
          <w:rFonts w:ascii="Arial" w:hAnsi="Arial" w:cs="Arial"/>
          <w:color w:val="0000FF"/>
          <w:sz w:val="20"/>
        </w:rPr>
        <w:t>The taxonomic changes you are proposing should be presented on an accompanying Excel module, 2019_TP_Template_Excel_module. Please enter the file name of the completed module in this box.</w:t>
      </w:r>
    </w:p>
    <w:p w:rsidR="00782A25" w:rsidRDefault="0029704B">
      <w:pPr>
        <w:pStyle w:val="BodyTextIndent"/>
        <w:ind w:left="0" w:firstLine="0"/>
        <w:rPr>
          <w:b/>
          <w:szCs w:val="24"/>
        </w:rPr>
      </w:pPr>
      <w:r>
        <w:rPr>
          <w:rFonts w:ascii="Arial" w:hAnsi="Arial" w:cs="Arial"/>
          <w:b/>
          <w:color w:val="000000"/>
          <w:szCs w:val="24"/>
        </w:rPr>
        <w:t>Supporting material:</w:t>
      </w:r>
    </w:p>
    <w:tbl>
      <w:tblPr>
        <w:tblW w:w="9228" w:type="dxa"/>
        <w:tblLook w:val="04A0" w:firstRow="1" w:lastRow="0" w:firstColumn="1" w:lastColumn="0" w:noHBand="0" w:noVBand="1"/>
      </w:tblPr>
      <w:tblGrid>
        <w:gridCol w:w="9458"/>
      </w:tblGrid>
      <w:tr w:rsidR="00782A25">
        <w:trPr>
          <w:trHeight w:val="266"/>
          <w:tblHeader/>
        </w:trPr>
        <w:tc>
          <w:tcPr>
            <w:tcW w:w="9228" w:type="dxa"/>
            <w:shd w:val="clear" w:color="auto" w:fill="auto"/>
          </w:tcPr>
          <w:p w:rsidR="00782A25" w:rsidRDefault="0029704B">
            <w:pPr>
              <w:rPr>
                <w:b/>
                <w:color w:val="808080"/>
                <w:szCs w:val="20"/>
              </w:rPr>
            </w:pPr>
            <w:r>
              <w:rPr>
                <w:rFonts w:ascii="Arial" w:hAnsi="Arial" w:cs="Arial"/>
                <w:color w:val="808080"/>
                <w:sz w:val="20"/>
                <w:szCs w:val="20"/>
              </w:rPr>
              <w:lastRenderedPageBreak/>
              <w:t>additional material in support of this proposal</w:t>
            </w:r>
          </w:p>
        </w:tc>
      </w:tr>
      <w:tr w:rsidR="00782A25">
        <w:trPr>
          <w:trHeight w:val="1566"/>
        </w:trPr>
        <w:tc>
          <w:tcPr>
            <w:tcW w:w="9228" w:type="dxa"/>
            <w:shd w:val="clear" w:color="auto" w:fill="auto"/>
          </w:tcPr>
          <w:p w:rsidR="00782A25" w:rsidRDefault="0029704B">
            <w:pPr>
              <w:ind w:left="284"/>
              <w:rPr>
                <w:rFonts w:ascii="Arial" w:hAnsi="Arial" w:cs="Arial"/>
                <w:color w:val="0000FF"/>
                <w:sz w:val="20"/>
              </w:rPr>
            </w:pPr>
            <w:r>
              <w:rPr>
                <w:rFonts w:ascii="Arial" w:hAnsi="Arial" w:cs="Arial"/>
                <w:color w:val="0000FF"/>
                <w:sz w:val="20"/>
              </w:rPr>
              <w:t>Please explain the reasons for the taxonomic changes you are proposing and provide evidence to support them. The following information should be provided, where relevant:</w:t>
            </w:r>
          </w:p>
          <w:p w:rsidR="00782A25" w:rsidRDefault="0029704B">
            <w:pPr>
              <w:pStyle w:val="BodyTextIndent"/>
              <w:numPr>
                <w:ilvl w:val="0"/>
                <w:numId w:val="1"/>
              </w:numPr>
              <w:ind w:left="567" w:hanging="283"/>
              <w:rPr>
                <w:rFonts w:ascii="Arial" w:hAnsi="Arial" w:cs="Arial"/>
                <w:color w:val="0000FF"/>
                <w:sz w:val="20"/>
              </w:rPr>
            </w:pPr>
            <w:r>
              <w:rPr>
                <w:rFonts w:ascii="Arial" w:hAnsi="Arial" w:cs="Arial"/>
                <w:b/>
                <w:color w:val="0000FF"/>
                <w:sz w:val="20"/>
              </w:rPr>
              <w:t>Species demarcation criteria</w:t>
            </w:r>
            <w:r>
              <w:rPr>
                <w:rFonts w:ascii="Arial" w:hAnsi="Arial" w:cs="Arial"/>
                <w:color w:val="0000FF"/>
                <w:sz w:val="20"/>
              </w:rPr>
              <w:t>: Explain how new species differ from others in the genus and demonstrate that these differences meet the criteria previously established for demarcating between species. If no criteria</w:t>
            </w:r>
            <w:r>
              <w:rPr>
                <w:rFonts w:ascii="Arial" w:hAnsi="Arial" w:cs="Arial"/>
                <w:b/>
                <w:color w:val="0000FF"/>
                <w:sz w:val="20"/>
              </w:rPr>
              <w:t xml:space="preserve"> </w:t>
            </w:r>
            <w:r>
              <w:rPr>
                <w:rFonts w:ascii="Arial" w:hAnsi="Arial" w:cs="Arial"/>
                <w:color w:val="0000FF"/>
                <w:sz w:val="20"/>
              </w:rPr>
              <w:t xml:space="preserve">have previously been established, and if there will now be more than one species in the genus, please state the demarcation criteria you are proposing. </w:t>
            </w:r>
          </w:p>
          <w:p w:rsidR="00782A25" w:rsidRDefault="0029704B">
            <w:pPr>
              <w:pStyle w:val="BodyTextIndent"/>
              <w:numPr>
                <w:ilvl w:val="0"/>
                <w:numId w:val="1"/>
              </w:numPr>
              <w:ind w:left="567" w:hanging="283"/>
              <w:rPr>
                <w:rFonts w:ascii="Arial" w:hAnsi="Arial" w:cs="Arial"/>
                <w:color w:val="0000FF"/>
                <w:sz w:val="20"/>
              </w:rPr>
            </w:pPr>
            <w:r>
              <w:rPr>
                <w:rFonts w:ascii="Arial" w:hAnsi="Arial" w:cs="Arial"/>
                <w:b/>
                <w:color w:val="0000FF"/>
                <w:sz w:val="20"/>
              </w:rPr>
              <w:t>Higher taxa</w:t>
            </w:r>
            <w:r>
              <w:rPr>
                <w:rFonts w:ascii="Arial" w:hAnsi="Arial" w:cs="Arial"/>
                <w:color w:val="0000FF"/>
                <w:sz w:val="20"/>
              </w:rPr>
              <w:t xml:space="preserve">: </w:t>
            </w:r>
          </w:p>
          <w:p w:rsidR="00782A25" w:rsidRDefault="0029704B">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There is no formal requirement to state demarcation criteria when proposing new genera or other higher taxa. However, a similar concept should apply in pursuit of a rational and consistent virus taxonomy. </w:t>
            </w:r>
          </w:p>
          <w:p w:rsidR="00782A25" w:rsidRDefault="0029704B">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Please indicate the </w:t>
            </w:r>
            <w:r>
              <w:rPr>
                <w:rFonts w:ascii="Arial" w:hAnsi="Arial" w:cs="Arial"/>
                <w:b/>
                <w:color w:val="0000FF"/>
                <w:sz w:val="20"/>
              </w:rPr>
              <w:t>origin of names</w:t>
            </w:r>
            <w:r>
              <w:rPr>
                <w:rFonts w:ascii="Arial" w:hAnsi="Arial" w:cs="Arial"/>
                <w:color w:val="0000FF"/>
                <w:sz w:val="20"/>
              </w:rPr>
              <w:t xml:space="preserve"> assigned to new taxa at genus level and above.</w:t>
            </w:r>
          </w:p>
          <w:p w:rsidR="00782A25" w:rsidRDefault="0029704B">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For each new genus a </w:t>
            </w:r>
            <w:r>
              <w:rPr>
                <w:rFonts w:ascii="Arial" w:hAnsi="Arial" w:cs="Arial"/>
                <w:b/>
                <w:color w:val="0000FF"/>
                <w:sz w:val="20"/>
              </w:rPr>
              <w:t>type species</w:t>
            </w:r>
            <w:r>
              <w:rPr>
                <w:rFonts w:ascii="Arial" w:hAnsi="Arial" w:cs="Arial"/>
                <w:color w:val="0000FF"/>
                <w:sz w:val="20"/>
              </w:rPr>
              <w:t xml:space="preserve"> must be designated to represent it. Please explain your choice. </w:t>
            </w:r>
          </w:p>
          <w:p w:rsidR="00782A25" w:rsidRDefault="0029704B">
            <w:pPr>
              <w:pStyle w:val="BodyTextIndent"/>
              <w:numPr>
                <w:ilvl w:val="0"/>
                <w:numId w:val="1"/>
              </w:numPr>
              <w:spacing w:after="120"/>
              <w:ind w:left="567" w:hanging="283"/>
              <w:rPr>
                <w:rFonts w:ascii="Arial" w:hAnsi="Arial" w:cs="Arial"/>
                <w:color w:val="0000FF"/>
                <w:sz w:val="20"/>
              </w:rPr>
            </w:pPr>
            <w:r>
              <w:rPr>
                <w:rFonts w:ascii="Arial" w:hAnsi="Arial" w:cs="Arial"/>
                <w:b/>
                <w:color w:val="0000FF"/>
                <w:sz w:val="20"/>
              </w:rPr>
              <w:t>Supporting evidence</w:t>
            </w:r>
            <w:r>
              <w:rPr>
                <w:rFonts w:ascii="Arial" w:hAnsi="Arial" w:cs="Arial"/>
                <w:color w:val="0000FF"/>
                <w:sz w:val="20"/>
              </w:rPr>
              <w:t xml:space="preserve">: The use of Figures and Tables is strongly recommended (note that copying from publications will require permission from the copyright holder). For phylogenetic analysis, please provide a tree where branch length is </w:t>
            </w:r>
            <w:r>
              <w:rPr>
                <w:rFonts w:ascii="Arial" w:hAnsi="Arial"/>
                <w:b/>
                <w:color w:val="0000FF"/>
                <w:sz w:val="20"/>
              </w:rPr>
              <w:t xml:space="preserve">proportional to genetic </w:t>
            </w:r>
            <w:r>
              <w:rPr>
                <w:rFonts w:ascii="Arial" w:hAnsi="Arial"/>
                <w:color w:val="0000FF"/>
                <w:sz w:val="20"/>
              </w:rPr>
              <w:t>distance, generated using an appropriate algorithm (Neighbour-Joining, Maximum Likelihood, or Bayesian) and provide evidence of the reliability of the branching (e.g., by bootstrapping).</w:t>
            </w:r>
            <w:r>
              <w:rPr>
                <w:rFonts w:ascii="Arial" w:hAnsi="Arial" w:cs="Arial"/>
                <w:color w:val="0000FF"/>
                <w:sz w:val="20"/>
              </w:rPr>
              <w:t xml:space="preserve"> </w:t>
            </w:r>
          </w:p>
          <w:p w:rsidR="00782A25" w:rsidRDefault="0029704B">
            <w:pPr>
              <w:pStyle w:val="BodyTextIndent"/>
              <w:spacing w:after="120"/>
              <w:ind w:left="284" w:firstLine="0"/>
              <w:rPr>
                <w:rFonts w:ascii="Arial" w:hAnsi="Arial" w:cs="Arial"/>
                <w:color w:val="0000FF"/>
                <w:sz w:val="20"/>
              </w:rPr>
            </w:pPr>
            <w:r>
              <w:rPr>
                <w:rFonts w:ascii="Arial" w:hAnsi="Arial" w:cs="Arial"/>
                <w:color w:val="0000FF"/>
                <w:sz w:val="20"/>
              </w:rPr>
              <w:t>Please refer to the Help Notes file (Taxonomic_Proposals_Help_2019) for more information.</w:t>
            </w:r>
          </w:p>
          <w:p w:rsidR="00782A25" w:rsidRDefault="0029704B">
            <w:pPr>
              <w:pStyle w:val="BodyTextIndent"/>
              <w:ind w:left="0" w:firstLine="0"/>
            </w:pPr>
            <w:r>
              <w:rPr>
                <w:lang w:val="en-GB"/>
              </w:rPr>
              <w:t xml:space="preserve">We propose to create a genus </w:t>
            </w:r>
            <w:r>
              <w:rPr>
                <w:i/>
                <w:iCs/>
                <w:lang w:val="en-GB"/>
              </w:rPr>
              <w:t>Fibralongavirus</w:t>
            </w:r>
            <w:r>
              <w:rPr>
                <w:lang w:val="en-GB"/>
              </w:rPr>
              <w:t xml:space="preserve"> for phages vB_SpsS_QT1 (QT1 in short), 2638A and phages with similar properties. We have chosen 95% genome sequence identity as the criterion for demarcation of </w:t>
            </w:r>
            <w:r w:rsidR="003A3399">
              <w:rPr>
                <w:lang w:val="en-GB"/>
              </w:rPr>
              <w:t>species</w:t>
            </w:r>
            <w:r>
              <w:rPr>
                <w:lang w:val="en-GB"/>
              </w:rPr>
              <w:t xml:space="preserve"> in this new genus. The members of each of the proposed species differ from those of other species by more than 5% at the DNA level as confirmed with the BLASTn and E</w:t>
            </w:r>
            <w:r w:rsidR="00C54730">
              <w:rPr>
                <w:lang w:val="en-GB"/>
              </w:rPr>
              <w:t>MBOSS</w:t>
            </w:r>
            <w:r>
              <w:rPr>
                <w:lang w:val="en-GB"/>
              </w:rPr>
              <w:t xml:space="preserve"> Stretcher algorithms. </w:t>
            </w:r>
          </w:p>
          <w:p w:rsidR="00782A25" w:rsidRDefault="00782A25">
            <w:pPr>
              <w:pStyle w:val="BodyTextIndent"/>
              <w:ind w:left="0" w:firstLine="0"/>
              <w:rPr>
                <w:lang w:val="en-GB"/>
              </w:rPr>
            </w:pPr>
          </w:p>
          <w:p w:rsidR="00782A25" w:rsidRDefault="0029704B">
            <w:pPr>
              <w:pStyle w:val="BodyTextIndent"/>
              <w:ind w:left="0" w:firstLine="0"/>
            </w:pPr>
            <w:r>
              <w:rPr>
                <w:lang w:val="en-GB"/>
              </w:rPr>
              <w:t xml:space="preserve">These two phages that infect </w:t>
            </w:r>
            <w:r>
              <w:rPr>
                <w:i/>
                <w:iCs/>
                <w:lang w:val="en-GB"/>
              </w:rPr>
              <w:t>Staphylococcus pseudintermedius</w:t>
            </w:r>
            <w:r>
              <w:rPr>
                <w:lang w:val="en-GB"/>
              </w:rPr>
              <w:t xml:space="preserve"> have long non-contractile tail, ending with tail terminal widening and a single long fibre (Fig. 1). Phage 2638A has been described previously by Slopek and Krzywy (7). Phage QT1 ha</w:t>
            </w:r>
            <w:r w:rsidR="00456E47">
              <w:rPr>
                <w:lang w:val="en-GB"/>
              </w:rPr>
              <w:t>s</w:t>
            </w:r>
            <w:r>
              <w:rPr>
                <w:lang w:val="en-GB"/>
              </w:rPr>
              <w:t xml:space="preserve"> B1 morphotype with icosahedral head with diameter 61 nm. </w:t>
            </w:r>
            <w:r w:rsidR="00C54730">
              <w:rPr>
                <w:lang w:val="en-GB"/>
              </w:rPr>
              <w:t>The t</w:t>
            </w:r>
            <w:r>
              <w:rPr>
                <w:lang w:val="en-GB"/>
              </w:rPr>
              <w:t xml:space="preserve">ail has length 282 nm and central tail fibre is about 70 nm long. </w:t>
            </w:r>
          </w:p>
          <w:p w:rsidR="00782A25" w:rsidRDefault="00782A25">
            <w:pPr>
              <w:pStyle w:val="BodyTextIndent"/>
              <w:ind w:left="0" w:firstLine="0"/>
              <w:rPr>
                <w:lang w:val="en-GB"/>
              </w:rPr>
            </w:pPr>
          </w:p>
          <w:p w:rsidR="00782A25" w:rsidRDefault="0029704B">
            <w:pPr>
              <w:pStyle w:val="BodyTextIndent"/>
              <w:ind w:left="0" w:firstLine="0"/>
            </w:pPr>
            <w:r>
              <w:rPr>
                <w:lang w:val="en-GB"/>
              </w:rPr>
              <w:t>Phages of this genus have genome</w:t>
            </w:r>
            <w:r w:rsidR="002421BD">
              <w:rPr>
                <w:lang w:val="en-GB"/>
              </w:rPr>
              <w:t>s</w:t>
            </w:r>
            <w:r>
              <w:rPr>
                <w:lang w:val="en-GB"/>
              </w:rPr>
              <w:t xml:space="preserve"> of approximately 42.2 kb (36.9 mol% G+C) and encode between 55 – 61 genes and no genes for tRNA. </w:t>
            </w:r>
            <w:r w:rsidR="007F318A">
              <w:rPr>
                <w:lang w:val="en-GB"/>
              </w:rPr>
              <w:t>The g</w:t>
            </w:r>
            <w:r>
              <w:rPr>
                <w:lang w:val="en-GB"/>
              </w:rPr>
              <w:t>enome of QT1 ha</w:t>
            </w:r>
            <w:r w:rsidR="00456E47">
              <w:rPr>
                <w:lang w:val="en-GB"/>
              </w:rPr>
              <w:t>s</w:t>
            </w:r>
            <w:r>
              <w:rPr>
                <w:lang w:val="en-GB"/>
              </w:rPr>
              <w:t xml:space="preserve"> 10 bp long 5’ overhangs (cohesive ends). An interesting feature is that both phages encode endolysin with double translational start producing two variants of endolysin. </w:t>
            </w:r>
            <w:r w:rsidR="007F318A">
              <w:rPr>
                <w:lang w:val="en-GB"/>
              </w:rPr>
              <w:t>The s</w:t>
            </w:r>
            <w:r>
              <w:rPr>
                <w:lang w:val="en-GB"/>
              </w:rPr>
              <w:t xml:space="preserve">econd variant does not contain </w:t>
            </w:r>
            <w:r w:rsidR="007F318A">
              <w:rPr>
                <w:lang w:val="en-GB"/>
              </w:rPr>
              <w:t xml:space="preserve">a </w:t>
            </w:r>
            <w:r>
              <w:rPr>
                <w:lang w:val="en-GB"/>
              </w:rPr>
              <w:t>peptidase domain (9).</w:t>
            </w:r>
          </w:p>
          <w:p w:rsidR="00782A25" w:rsidRDefault="00782A25">
            <w:pPr>
              <w:pStyle w:val="BodyTextIndent"/>
              <w:ind w:left="0" w:firstLine="0"/>
              <w:rPr>
                <w:lang w:val="en-GB"/>
              </w:rPr>
            </w:pPr>
          </w:p>
          <w:p w:rsidR="00782A25" w:rsidRDefault="0029704B">
            <w:pPr>
              <w:pStyle w:val="BodyTextIndent"/>
              <w:ind w:left="0" w:firstLine="0"/>
              <w:rPr>
                <w:lang w:val="en-GB"/>
              </w:rPr>
            </w:pPr>
            <w:r>
              <w:rPr>
                <w:lang w:val="en-GB"/>
              </w:rPr>
              <w:t>Sequence comparisons preformed with tools: BLASTn (Fig. 2), E</w:t>
            </w:r>
            <w:r w:rsidR="00C54730">
              <w:rPr>
                <w:lang w:val="en-GB"/>
              </w:rPr>
              <w:t>MBOSS</w:t>
            </w:r>
            <w:r>
              <w:rPr>
                <w:lang w:val="en-GB"/>
              </w:rPr>
              <w:t xml:space="preserve"> Stretcher (Fig. 2), progressiveMauve (Fig. 3), Gegeenes (Fig. 4), CD-HIT (Table 1) and phylogenetic analyses (Fig. 5) show that phages QT1 and 2638A (7,8) belong to a distinct and cohesive group. Because of long central tail </w:t>
            </w:r>
            <w:r w:rsidR="00456E47">
              <w:rPr>
                <w:lang w:val="en-GB"/>
              </w:rPr>
              <w:t>fibre,</w:t>
            </w:r>
            <w:r>
              <w:rPr>
                <w:lang w:val="en-GB"/>
              </w:rPr>
              <w:t xml:space="preserve"> we decided to name the genus </w:t>
            </w:r>
            <w:r>
              <w:rPr>
                <w:i/>
                <w:iCs/>
                <w:lang w:val="en-GB"/>
              </w:rPr>
              <w:t xml:space="preserve">Fibralongavirus. </w:t>
            </w:r>
          </w:p>
          <w:p w:rsidR="00782A25" w:rsidRDefault="00782A25">
            <w:pPr>
              <w:pStyle w:val="BodyTextIndent"/>
              <w:ind w:left="0" w:firstLine="0"/>
              <w:rPr>
                <w:i/>
                <w:iCs/>
                <w:lang w:val="en-GB"/>
              </w:rPr>
            </w:pPr>
          </w:p>
          <w:p w:rsidR="00782A25" w:rsidRDefault="0029704B">
            <w:pPr>
              <w:pStyle w:val="BodyTextIndent"/>
              <w:ind w:left="0" w:firstLine="0"/>
            </w:pPr>
            <w:r>
              <w:rPr>
                <w:b/>
                <w:bCs/>
                <w:lang w:val="en-GB"/>
              </w:rPr>
              <w:t>Table 1:</w:t>
            </w:r>
            <w:r>
              <w:rPr>
                <w:lang w:val="en-GB"/>
              </w:rPr>
              <w:t xml:space="preserve"> Properties of the phages belonging to the genus </w:t>
            </w:r>
            <w:r>
              <w:rPr>
                <w:i/>
                <w:iCs/>
                <w:lang w:val="en-GB"/>
              </w:rPr>
              <w:t>Fibralongavirus</w:t>
            </w:r>
          </w:p>
          <w:tbl>
            <w:tblPr>
              <w:tblW w:w="9180" w:type="dxa"/>
              <w:tblInd w:w="1"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000" w:firstRow="0" w:lastRow="0" w:firstColumn="0" w:lastColumn="0" w:noHBand="0" w:noVBand="0"/>
            </w:tblPr>
            <w:tblGrid>
              <w:gridCol w:w="1569"/>
              <w:gridCol w:w="1504"/>
              <w:gridCol w:w="1159"/>
              <w:gridCol w:w="900"/>
              <w:gridCol w:w="804"/>
              <w:gridCol w:w="633"/>
              <w:gridCol w:w="1349"/>
              <w:gridCol w:w="1262"/>
            </w:tblGrid>
            <w:tr w:rsidR="00782A25">
              <w:tc>
                <w:tcPr>
                  <w:tcW w:w="1568"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Phage</w:t>
                  </w:r>
                </w:p>
              </w:tc>
              <w:tc>
                <w:tcPr>
                  <w:tcW w:w="15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Accession no.</w:t>
                  </w:r>
                </w:p>
              </w:tc>
              <w:tc>
                <w:tcPr>
                  <w:tcW w:w="115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Genome size</w:t>
                  </w:r>
                </w:p>
              </w:tc>
              <w:tc>
                <w:tcPr>
                  <w:tcW w:w="900"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GC content</w:t>
                  </w:r>
                </w:p>
              </w:tc>
              <w:tc>
                <w:tcPr>
                  <w:tcW w:w="8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tRNAs</w:t>
                  </w:r>
                </w:p>
              </w:tc>
              <w:tc>
                <w:tcPr>
                  <w:tcW w:w="633"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CDS no.</w:t>
                  </w:r>
                </w:p>
              </w:tc>
              <w:tc>
                <w:tcPr>
                  <w:tcW w:w="134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b/>
                      <w:bCs/>
                      <w:lang w:val="en-GB"/>
                    </w:rPr>
                  </w:pPr>
                  <w:r>
                    <w:rPr>
                      <w:b/>
                      <w:bCs/>
                      <w:lang w:val="en-GB"/>
                    </w:rPr>
                    <w:t>Shared genes*</w:t>
                  </w:r>
                </w:p>
              </w:tc>
              <w:tc>
                <w:tcPr>
                  <w:tcW w:w="1262" w:type="dxa"/>
                  <w:tcBorders>
                    <w:top w:val="single" w:sz="2" w:space="0" w:color="000000"/>
                    <w:left w:val="single" w:sz="2" w:space="0" w:color="000000"/>
                    <w:bottom w:val="single" w:sz="2" w:space="0" w:color="000000"/>
                    <w:right w:val="single" w:sz="2" w:space="0" w:color="000000"/>
                  </w:tcBorders>
                  <w:shd w:val="clear" w:color="auto" w:fill="auto"/>
                </w:tcPr>
                <w:p w:rsidR="00782A25" w:rsidRDefault="0029704B">
                  <w:pPr>
                    <w:pStyle w:val="TableContents"/>
                    <w:rPr>
                      <w:b/>
                      <w:bCs/>
                      <w:lang w:val="en-GB"/>
                    </w:rPr>
                  </w:pPr>
                  <w:r>
                    <w:rPr>
                      <w:b/>
                      <w:bCs/>
                      <w:lang w:val="en-GB"/>
                    </w:rPr>
                    <w:t>Signature genes</w:t>
                  </w:r>
                  <w:r>
                    <w:rPr>
                      <w:b/>
                      <w:bCs/>
                      <w:vertAlign w:val="superscript"/>
                      <w:lang w:val="en-GB"/>
                    </w:rPr>
                    <w:t>#</w:t>
                  </w:r>
                </w:p>
              </w:tc>
            </w:tr>
            <w:tr w:rsidR="00782A25">
              <w:tc>
                <w:tcPr>
                  <w:tcW w:w="1568"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vB_SpsS</w:t>
                  </w:r>
                  <w:r w:rsidR="00C54730">
                    <w:rPr>
                      <w:lang w:val="en-GB"/>
                    </w:rPr>
                    <w:t>_</w:t>
                  </w:r>
                  <w:r>
                    <w:rPr>
                      <w:lang w:val="en-GB"/>
                    </w:rPr>
                    <w:t>QT1</w:t>
                  </w:r>
                </w:p>
              </w:tc>
              <w:tc>
                <w:tcPr>
                  <w:tcW w:w="15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MK450538</w:t>
                  </w:r>
                </w:p>
              </w:tc>
              <w:tc>
                <w:tcPr>
                  <w:tcW w:w="115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43 029 bp</w:t>
                  </w:r>
                </w:p>
              </w:tc>
              <w:tc>
                <w:tcPr>
                  <w:tcW w:w="900"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36.9 %</w:t>
                  </w:r>
                </w:p>
              </w:tc>
              <w:tc>
                <w:tcPr>
                  <w:tcW w:w="8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0</w:t>
                  </w:r>
                </w:p>
              </w:tc>
              <w:tc>
                <w:tcPr>
                  <w:tcW w:w="633"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60</w:t>
                  </w:r>
                </w:p>
              </w:tc>
              <w:tc>
                <w:tcPr>
                  <w:tcW w:w="134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41 (68 %)</w:t>
                  </w:r>
                </w:p>
              </w:tc>
              <w:tc>
                <w:tcPr>
                  <w:tcW w:w="1262" w:type="dxa"/>
                  <w:tcBorders>
                    <w:top w:val="single" w:sz="2" w:space="0" w:color="000000"/>
                    <w:left w:val="single" w:sz="2" w:space="0" w:color="000000"/>
                    <w:bottom w:val="single" w:sz="2" w:space="0" w:color="000000"/>
                    <w:right w:val="single" w:sz="2" w:space="0" w:color="000000"/>
                  </w:tcBorders>
                  <w:shd w:val="clear" w:color="auto" w:fill="auto"/>
                </w:tcPr>
                <w:p w:rsidR="00782A25" w:rsidRDefault="0029704B">
                  <w:pPr>
                    <w:pStyle w:val="TableContents"/>
                    <w:rPr>
                      <w:i/>
                      <w:iCs/>
                      <w:lang w:val="en-GB"/>
                    </w:rPr>
                  </w:pPr>
                  <w:r>
                    <w:rPr>
                      <w:i/>
                      <w:iCs/>
                      <w:lang w:val="en-GB"/>
                    </w:rPr>
                    <w:t>sam mt, int</w:t>
                  </w:r>
                </w:p>
              </w:tc>
            </w:tr>
            <w:tr w:rsidR="00782A25">
              <w:tc>
                <w:tcPr>
                  <w:tcW w:w="1568"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2638A</w:t>
                  </w:r>
                </w:p>
              </w:tc>
              <w:tc>
                <w:tcPr>
                  <w:tcW w:w="15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NC_007051</w:t>
                  </w:r>
                </w:p>
              </w:tc>
              <w:tc>
                <w:tcPr>
                  <w:tcW w:w="115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41 318 bp</w:t>
                  </w:r>
                </w:p>
              </w:tc>
              <w:tc>
                <w:tcPr>
                  <w:tcW w:w="900"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36.9 %</w:t>
                  </w:r>
                </w:p>
              </w:tc>
              <w:tc>
                <w:tcPr>
                  <w:tcW w:w="804"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0</w:t>
                  </w:r>
                </w:p>
              </w:tc>
              <w:tc>
                <w:tcPr>
                  <w:tcW w:w="633"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57</w:t>
                  </w:r>
                </w:p>
              </w:tc>
              <w:tc>
                <w:tcPr>
                  <w:tcW w:w="1349" w:type="dxa"/>
                  <w:tcBorders>
                    <w:top w:val="single" w:sz="2" w:space="0" w:color="000000"/>
                    <w:left w:val="single" w:sz="2" w:space="0" w:color="000000"/>
                    <w:bottom w:val="single" w:sz="2" w:space="0" w:color="000000"/>
                  </w:tcBorders>
                  <w:shd w:val="clear" w:color="auto" w:fill="auto"/>
                </w:tcPr>
                <w:p w:rsidR="00782A25" w:rsidRDefault="0029704B">
                  <w:pPr>
                    <w:pStyle w:val="TableContents"/>
                    <w:rPr>
                      <w:lang w:val="en-GB"/>
                    </w:rPr>
                  </w:pPr>
                  <w:r>
                    <w:rPr>
                      <w:lang w:val="en-GB"/>
                    </w:rPr>
                    <w:t>41 (72 %)</w:t>
                  </w:r>
                </w:p>
              </w:tc>
              <w:tc>
                <w:tcPr>
                  <w:tcW w:w="1262" w:type="dxa"/>
                  <w:tcBorders>
                    <w:top w:val="single" w:sz="2" w:space="0" w:color="000000"/>
                    <w:left w:val="single" w:sz="2" w:space="0" w:color="000000"/>
                    <w:bottom w:val="single" w:sz="2" w:space="0" w:color="000000"/>
                    <w:right w:val="single" w:sz="2" w:space="0" w:color="000000"/>
                  </w:tcBorders>
                  <w:shd w:val="clear" w:color="auto" w:fill="auto"/>
                </w:tcPr>
                <w:p w:rsidR="00782A25" w:rsidRDefault="0029704B">
                  <w:pPr>
                    <w:pStyle w:val="TableContents"/>
                    <w:rPr>
                      <w:i/>
                      <w:iCs/>
                      <w:lang w:val="en-GB"/>
                    </w:rPr>
                  </w:pPr>
                  <w:r>
                    <w:rPr>
                      <w:i/>
                      <w:iCs/>
                      <w:lang w:val="en-GB"/>
                    </w:rPr>
                    <w:t>int</w:t>
                  </w:r>
                </w:p>
              </w:tc>
            </w:tr>
          </w:tbl>
          <w:p w:rsidR="00782A25" w:rsidRDefault="0029704B">
            <w:pPr>
              <w:pStyle w:val="BodyTextIndent"/>
              <w:ind w:left="0" w:firstLine="0"/>
            </w:pPr>
            <w:r>
              <w:rPr>
                <w:lang w:val="en-GB"/>
              </w:rPr>
              <w:t xml:space="preserve">*Percentage of shared genes was calculated by CD-HIT (4) as a global alignments of proteomes with identity above 40 %, </w:t>
            </w:r>
          </w:p>
          <w:p w:rsidR="00782A25" w:rsidRDefault="0029704B">
            <w:pPr>
              <w:pStyle w:val="BodyTextIndent"/>
              <w:ind w:left="0" w:firstLine="0"/>
            </w:pPr>
            <w:r>
              <w:rPr>
                <w:b/>
                <w:bCs/>
                <w:i/>
                <w:iCs/>
                <w:vertAlign w:val="superscript"/>
                <w:lang w:val="en-GB"/>
              </w:rPr>
              <w:t>#</w:t>
            </w:r>
            <w:r>
              <w:rPr>
                <w:i/>
                <w:iCs/>
                <w:lang w:val="en-GB"/>
              </w:rPr>
              <w:t>sam mt</w:t>
            </w:r>
            <w:r>
              <w:rPr>
                <w:lang w:val="en-GB"/>
              </w:rPr>
              <w:t xml:space="preserve"> – SAM-dependent methyltransferase; </w:t>
            </w:r>
            <w:r>
              <w:rPr>
                <w:i/>
                <w:iCs/>
                <w:lang w:val="en-GB"/>
              </w:rPr>
              <w:t>int</w:t>
            </w:r>
            <w:r>
              <w:rPr>
                <w:lang w:val="en-GB"/>
              </w:rPr>
              <w:t xml:space="preserve"> – integrase; See Fig. 2.</w:t>
            </w:r>
          </w:p>
          <w:p w:rsidR="00782A25" w:rsidRDefault="00782A25">
            <w:pPr>
              <w:pStyle w:val="BodyTextIndent"/>
              <w:ind w:left="0" w:firstLine="0"/>
              <w:rPr>
                <w:lang w:val="en-GB"/>
              </w:rPr>
            </w:pPr>
          </w:p>
          <w:p w:rsidR="00782A25" w:rsidRDefault="00782A25">
            <w:pPr>
              <w:pStyle w:val="BodyTextIndent"/>
              <w:ind w:left="0" w:firstLine="0"/>
              <w:rPr>
                <w:b/>
                <w:bCs/>
                <w:lang w:val="en-GB"/>
              </w:rPr>
            </w:pPr>
          </w:p>
          <w:p w:rsidR="00782A25" w:rsidRDefault="0029704B">
            <w:pPr>
              <w:pStyle w:val="BodyTextIndent"/>
              <w:ind w:left="0" w:firstLine="0"/>
            </w:pPr>
            <w:r>
              <w:rPr>
                <w:b/>
                <w:bCs/>
                <w:lang w:val="en-GB"/>
              </w:rPr>
              <w:t>Fig. 1:</w:t>
            </w:r>
            <w:r>
              <w:rPr>
                <w:lang w:val="en-GB"/>
              </w:rPr>
              <w:t xml:space="preserve"> Electron micrographs of negatively stained phages QT1(A) and 2638A(B) with detail on the tail fibre.</w:t>
            </w:r>
          </w:p>
          <w:p w:rsidR="00782A25" w:rsidRDefault="0029704B">
            <w:pPr>
              <w:pStyle w:val="BodyTextIndent"/>
              <w:ind w:left="0" w:firstLine="0"/>
              <w:rPr>
                <w:b/>
                <w:bCs/>
                <w:lang w:val="en-GB"/>
              </w:rPr>
            </w:pPr>
            <w:r>
              <w:rPr>
                <w:b/>
                <w:bCs/>
                <w:noProof/>
                <w:lang w:val="en-GB"/>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005830" cy="5879465"/>
                  <wp:effectExtent l="0" t="0" r="0" b="0"/>
                  <wp:wrapTopAndBottom/>
                  <wp:docPr id="2"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
                          <pic:cNvPicPr>
                            <a:picLocks noChangeAspect="1" noChangeArrowheads="1"/>
                          </pic:cNvPicPr>
                        </pic:nvPicPr>
                        <pic:blipFill>
                          <a:blip r:embed="rId17"/>
                          <a:stretch>
                            <a:fillRect/>
                          </a:stretch>
                        </pic:blipFill>
                        <pic:spPr bwMode="auto">
                          <a:xfrm>
                            <a:off x="0" y="0"/>
                            <a:ext cx="6005830" cy="5879465"/>
                          </a:xfrm>
                          <a:prstGeom prst="rect">
                            <a:avLst/>
                          </a:prstGeom>
                        </pic:spPr>
                      </pic:pic>
                    </a:graphicData>
                  </a:graphic>
                </wp:anchor>
              </w:drawing>
            </w:r>
          </w:p>
          <w:p w:rsidR="00782A25" w:rsidRDefault="0029704B">
            <w:pPr>
              <w:pStyle w:val="BodyTextIndent"/>
              <w:ind w:left="0" w:firstLine="0"/>
            </w:pPr>
            <w:r>
              <w:rPr>
                <w:b/>
                <w:bCs/>
                <w:lang w:val="en-GB"/>
              </w:rPr>
              <w:t>Fig. 2:</w:t>
            </w:r>
            <w:r>
              <w:rPr>
                <w:lang w:val="en-GB"/>
              </w:rPr>
              <w:t xml:space="preserve"> Sequence identity of QT1 and 2638A genomes visualised by EasyFig 2.1(5). BLASTn query coverage was 79 % and nucleotide identity was 99 %. Global nucleotide alignment was done by EMBOSS Stretcher (6) with 83.5 % identity and 6.5 % gaps on </w:t>
            </w:r>
            <w:bookmarkStart w:id="5" w:name="alignmentContent"/>
            <w:bookmarkEnd w:id="5"/>
            <w:r>
              <w:rPr>
                <w:lang w:val="en-GB"/>
              </w:rPr>
              <w:t>43585 nt space.</w:t>
            </w:r>
          </w:p>
          <w:p w:rsidR="00782A25" w:rsidRDefault="0029704B">
            <w:pPr>
              <w:pStyle w:val="BodyTextIndent"/>
              <w:ind w:left="0" w:firstLine="0"/>
              <w:rPr>
                <w:lang w:val="en-GB"/>
              </w:rPr>
            </w:pPr>
            <w:r>
              <w:rPr>
                <w:noProof/>
                <w:lang w:val="en-GB"/>
              </w:rPr>
              <w:lastRenderedPageBreak/>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6005830" cy="1733550"/>
                  <wp:effectExtent l="0" t="0" r="0" b="0"/>
                  <wp:wrapTopAndBottom/>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8"/>
                          <a:stretch>
                            <a:fillRect/>
                          </a:stretch>
                        </pic:blipFill>
                        <pic:spPr bwMode="auto">
                          <a:xfrm>
                            <a:off x="0" y="0"/>
                            <a:ext cx="6005830" cy="1733550"/>
                          </a:xfrm>
                          <a:prstGeom prst="rect">
                            <a:avLst/>
                          </a:prstGeom>
                        </pic:spPr>
                      </pic:pic>
                    </a:graphicData>
                  </a:graphic>
                </wp:anchor>
              </w:drawing>
            </w:r>
          </w:p>
          <w:p w:rsidR="00782A25" w:rsidRDefault="00782A25">
            <w:pPr>
              <w:pStyle w:val="BodyTextIndent"/>
              <w:ind w:left="0" w:firstLine="0"/>
              <w:rPr>
                <w:b/>
                <w:bCs/>
                <w:lang w:val="en-GB"/>
              </w:rPr>
            </w:pPr>
          </w:p>
          <w:p w:rsidR="00782A25" w:rsidRDefault="0029704B">
            <w:pPr>
              <w:pStyle w:val="BodyTextIndent"/>
              <w:ind w:left="0" w:firstLine="0"/>
            </w:pPr>
            <w:r>
              <w:rPr>
                <w:b/>
                <w:bCs/>
                <w:lang w:val="en-GB"/>
              </w:rPr>
              <w:t>Fig. 3:</w:t>
            </w:r>
            <w:r>
              <w:rPr>
                <w:lang w:val="en-GB"/>
              </w:rPr>
              <w:t xml:space="preserve"> ProgressiveMauve </w:t>
            </w:r>
            <w:r>
              <w:rPr>
                <w:color w:val="000000"/>
                <w:lang w:val="en-GB"/>
              </w:rPr>
              <w:t xml:space="preserve">alignment (1) of the annotated genomes belonging to the proposed genus </w:t>
            </w:r>
            <w:r>
              <w:rPr>
                <w:i/>
                <w:iCs/>
                <w:color w:val="000000"/>
                <w:lang w:val="en-GB"/>
              </w:rPr>
              <w:t>Fibralongavirus</w:t>
            </w:r>
            <w:r>
              <w:rPr>
                <w:color w:val="000000"/>
                <w:lang w:val="en-GB"/>
              </w:rPr>
              <w:t xml:space="preserve"> – top: </w:t>
            </w:r>
            <w:r>
              <w:rPr>
                <w:i/>
                <w:iCs/>
                <w:color w:val="000000"/>
                <w:lang w:val="en-GB"/>
              </w:rPr>
              <w:t>Staphylococcus</w:t>
            </w:r>
            <w:r>
              <w:rPr>
                <w:color w:val="000000"/>
                <w:lang w:val="en-GB"/>
              </w:rPr>
              <w:t xml:space="preserve"> phage QT1; bottom: </w:t>
            </w:r>
            <w:r>
              <w:rPr>
                <w:i/>
                <w:iCs/>
                <w:color w:val="000000"/>
                <w:lang w:val="en-GB"/>
              </w:rPr>
              <w:t>Staphylococcus</w:t>
            </w:r>
            <w:r>
              <w:rPr>
                <w:color w:val="000000"/>
                <w:lang w:val="en-GB"/>
              </w:rPr>
              <w:t xml:space="preserve"> phage 2638A. Locally collinear blocks are showed in different colour. Height of the column on the nucleotide position is showing sequence similarity between regions. </w:t>
            </w:r>
          </w:p>
          <w:p w:rsidR="00782A25" w:rsidRDefault="00782A25">
            <w:pPr>
              <w:pStyle w:val="BodyTextIndent"/>
              <w:ind w:left="0" w:firstLine="0"/>
              <w:rPr>
                <w:color w:val="000000"/>
                <w:lang w:val="en-GB"/>
              </w:rPr>
            </w:pPr>
          </w:p>
          <w:p w:rsidR="00782A25" w:rsidRDefault="0029704B">
            <w:pPr>
              <w:pStyle w:val="BodyTextIndent"/>
              <w:ind w:left="0" w:firstLine="0"/>
              <w:rPr>
                <w:lang w:val="en-GB"/>
              </w:rPr>
            </w:pPr>
            <w:r>
              <w:rPr>
                <w:noProof/>
                <w:lang w:val="en-GB"/>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005830" cy="1346835"/>
                  <wp:effectExtent l="0" t="0" r="0" b="0"/>
                  <wp:wrapTopAndBottom/>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9"/>
                          <a:stretch>
                            <a:fillRect/>
                          </a:stretch>
                        </pic:blipFill>
                        <pic:spPr bwMode="auto">
                          <a:xfrm>
                            <a:off x="0" y="0"/>
                            <a:ext cx="6005830" cy="1346835"/>
                          </a:xfrm>
                          <a:prstGeom prst="rect">
                            <a:avLst/>
                          </a:prstGeom>
                        </pic:spPr>
                      </pic:pic>
                    </a:graphicData>
                  </a:graphic>
                </wp:anchor>
              </w:drawing>
            </w:r>
          </w:p>
          <w:p w:rsidR="00782A25" w:rsidRDefault="00782A25">
            <w:pPr>
              <w:pStyle w:val="BodyTextIndent"/>
              <w:ind w:left="0" w:firstLine="0"/>
              <w:rPr>
                <w:b/>
                <w:bCs/>
                <w:lang w:val="en-GB"/>
              </w:rPr>
            </w:pPr>
          </w:p>
          <w:p w:rsidR="00782A25" w:rsidRDefault="00782A25">
            <w:pPr>
              <w:pStyle w:val="BodyTextIndent"/>
              <w:ind w:left="0" w:firstLine="0"/>
              <w:rPr>
                <w:b/>
                <w:bCs/>
                <w:lang w:val="en-GB"/>
              </w:rPr>
            </w:pPr>
          </w:p>
          <w:p w:rsidR="00782A25" w:rsidRDefault="0029704B">
            <w:pPr>
              <w:pStyle w:val="BodyTextIndent"/>
              <w:ind w:left="0" w:firstLine="0"/>
            </w:pPr>
            <w:r>
              <w:rPr>
                <w:b/>
                <w:bCs/>
                <w:lang w:val="en-GB"/>
              </w:rPr>
              <w:t>Fig. 4:</w:t>
            </w:r>
            <w:r>
              <w:rPr>
                <w:lang w:val="en-GB"/>
              </w:rPr>
              <w:t xml:space="preserve"> Genomes of </w:t>
            </w:r>
            <w:r>
              <w:rPr>
                <w:i/>
                <w:iCs/>
                <w:lang w:val="en-GB"/>
              </w:rPr>
              <w:t>Staphylococcus Siphoviridae</w:t>
            </w:r>
            <w:r>
              <w:rPr>
                <w:lang w:val="en-GB"/>
              </w:rPr>
              <w:t xml:space="preserve"> phages were compared using Gegen</w:t>
            </w:r>
            <w:r w:rsidR="00C54730">
              <w:rPr>
                <w:lang w:val="en-GB"/>
              </w:rPr>
              <w:t>e</w:t>
            </w:r>
            <w:r>
              <w:rPr>
                <w:lang w:val="en-GB"/>
              </w:rPr>
              <w:t>es 3.0(3). Fragmented all-against-all comparison was computed by BLASTn algorithm with fragment size of 50 nt and sliding step size of 25 nt. Resulting matrices were then sorted by Gegene</w:t>
            </w:r>
            <w:r w:rsidR="00C54730">
              <w:rPr>
                <w:lang w:val="en-GB"/>
              </w:rPr>
              <w:t>e</w:t>
            </w:r>
            <w:r>
              <w:rPr>
                <w:lang w:val="en-GB"/>
              </w:rPr>
              <w:t xml:space="preserve">s tool Autosort. Proposed genus </w:t>
            </w:r>
            <w:r>
              <w:rPr>
                <w:i/>
                <w:iCs/>
                <w:lang w:val="en-GB"/>
              </w:rPr>
              <w:t>Fibralongavirus</w:t>
            </w:r>
            <w:r>
              <w:rPr>
                <w:lang w:val="en-GB"/>
              </w:rPr>
              <w:t xml:space="preserve"> is marked in blue circle.</w:t>
            </w:r>
          </w:p>
          <w:p w:rsidR="00782A25" w:rsidRDefault="0029704B">
            <w:pPr>
              <w:pStyle w:val="BodyTextIndent"/>
              <w:ind w:left="0" w:firstLine="0"/>
              <w:rPr>
                <w:sz w:val="20"/>
              </w:rPr>
            </w:pPr>
            <w:r>
              <w:rPr>
                <w:noProof/>
              </w:rPr>
              <w:lastRenderedPageBreak/>
              <w:drawing>
                <wp:anchor distT="0" distB="0" distL="0" distR="0" simplePos="0" relativeHeight="8" behindDoc="0" locked="0" layoutInCell="1" allowOverlap="1">
                  <wp:simplePos x="0" y="0"/>
                  <wp:positionH relativeFrom="column">
                    <wp:align>center</wp:align>
                  </wp:positionH>
                  <wp:positionV relativeFrom="paragraph">
                    <wp:posOffset>69215</wp:posOffset>
                  </wp:positionV>
                  <wp:extent cx="6005830" cy="4488815"/>
                  <wp:effectExtent l="0" t="0" r="0" b="0"/>
                  <wp:wrapTopAndBottom/>
                  <wp:docPr id="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pic:cNvPicPr>
                            <a:picLocks noChangeAspect="1" noChangeArrowheads="1"/>
                          </pic:cNvPicPr>
                        </pic:nvPicPr>
                        <pic:blipFill>
                          <a:blip r:embed="rId20"/>
                          <a:stretch>
                            <a:fillRect/>
                          </a:stretch>
                        </pic:blipFill>
                        <pic:spPr bwMode="auto">
                          <a:xfrm>
                            <a:off x="0" y="0"/>
                            <a:ext cx="6005830" cy="4488815"/>
                          </a:xfrm>
                          <a:prstGeom prst="rect">
                            <a:avLst/>
                          </a:prstGeom>
                        </pic:spPr>
                      </pic:pic>
                    </a:graphicData>
                  </a:graphic>
                </wp:anchor>
              </w:drawing>
            </w:r>
            <w:r>
              <w:rPr>
                <w:sz w:val="20"/>
                <w:lang w:val="en-GB"/>
              </w:rPr>
              <w:t xml:space="preserve">1 - 187; 2 - phiSauS-IPLA88; 3 - 85; 4 - phiMR25; 5 - 69; 6 - phi11; 7 - SAP-26; 8 - phiETA2; 9 - phiNM1; 10 - phiNM2; 11 - 53; 12 - 80alpha; 13 - phiNM4; 14 - phiETA3; 15 - 96; 16 - 71; 17 - phiETA; 18 - 55; 19 - phiMR11; 20 - 29; 21 - 52A; 22 - 80; 23 - 92; 24 - 88; 25 - X2; 26 - EW; 27 - phiRS7; 28 - SpaA1; 29 - 37; 30 - IME-SA4; 31 - StB20-like; 32 - StB20; 33 - phi575; 34 - phi879; 35 - 6ec; 36 - vB_SepS_SEP9; </w:t>
            </w:r>
            <w:r>
              <w:rPr>
                <w:b/>
                <w:bCs/>
                <w:color w:val="0000FF"/>
                <w:sz w:val="20"/>
                <w:lang w:val="en-GB"/>
              </w:rPr>
              <w:t>37 - QT1; 38 - 2638A</w:t>
            </w:r>
            <w:r>
              <w:rPr>
                <w:sz w:val="20"/>
                <w:lang w:val="en-GB"/>
              </w:rPr>
              <w:t>; 39 - vB_SepiS-phiIPLA5; 40 - CNPH82; 41 - vB_SepiS-phiIPLA7; 42 - PH15; 43 - phiSauS-IPLA35; 44 - 3A; 45 - 47; 46 - phi12; 47 - phiSLT; 48 - 42e; 49 - phiPV83; 50 - JS01; 51 - tp310-3; 52 - phi13; 53 - phiPVL108; 54 - phiPVL-CN125; 55 - PVL; 56 - tp310-1; 57 - 23MRA; 58 - phiNM3; 59 - StauST398-4; 60 - phiN315; 61 - phiBU01; 62 - P954; 63 - 77; 64 - phiSa119; 65 - phi5967PVL</w:t>
            </w:r>
          </w:p>
          <w:p w:rsidR="00782A25" w:rsidRDefault="00782A25">
            <w:pPr>
              <w:pStyle w:val="BodyTextIndent"/>
              <w:ind w:left="0" w:firstLine="0"/>
              <w:rPr>
                <w:lang w:val="en-GB"/>
              </w:rPr>
            </w:pPr>
          </w:p>
          <w:p w:rsidR="00782A25" w:rsidRDefault="0029704B">
            <w:pPr>
              <w:pStyle w:val="BodyTextIndent"/>
              <w:ind w:left="0" w:firstLine="0"/>
            </w:pPr>
            <w:r>
              <w:rPr>
                <w:b/>
                <w:bCs/>
                <w:lang w:val="en-GB"/>
              </w:rPr>
              <w:t>Fig. 5:</w:t>
            </w:r>
            <w:r>
              <w:rPr>
                <w:lang w:val="en-GB"/>
              </w:rPr>
              <w:t xml:space="preserve"> Phylogenetic analysis based on amino acid sequences of major capsid proteins and terminase large subunits of phages QT1 and 2638A and representatives of other </w:t>
            </w:r>
            <w:r>
              <w:rPr>
                <w:i/>
                <w:iCs/>
                <w:lang w:val="en-GB"/>
              </w:rPr>
              <w:t>Staphylococcus</w:t>
            </w:r>
            <w:r>
              <w:rPr>
                <w:lang w:val="en-GB"/>
              </w:rPr>
              <w:t xml:space="preserve"> phage genera. Phylogenetic trees were computed and build at phylogeny.fr (2) with “one click” mode.</w:t>
            </w:r>
          </w:p>
          <w:p w:rsidR="00782A25" w:rsidRDefault="0029704B">
            <w:pPr>
              <w:pStyle w:val="BodyTextIndent"/>
              <w:ind w:left="0" w:firstLine="0"/>
            </w:pPr>
            <w:r>
              <w:rPr>
                <w:b/>
                <w:bCs/>
                <w:lang w:val="en-GB"/>
              </w:rPr>
              <w:t>A) Major capsid protein</w:t>
            </w:r>
          </w:p>
          <w:p w:rsidR="00782A25" w:rsidRDefault="0029704B">
            <w:pPr>
              <w:pStyle w:val="BodyTextIndent"/>
              <w:ind w:left="0" w:firstLine="0"/>
              <w:rPr>
                <w:lang w:val="en-GB"/>
              </w:rPr>
            </w:pPr>
            <w:r>
              <w:rPr>
                <w:noProof/>
                <w:lang w:val="en-GB"/>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6005830" cy="1757045"/>
                  <wp:effectExtent l="0" t="0" r="0" b="0"/>
                  <wp:wrapTopAndBottom/>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21"/>
                          <a:stretch>
                            <a:fillRect/>
                          </a:stretch>
                        </pic:blipFill>
                        <pic:spPr bwMode="auto">
                          <a:xfrm>
                            <a:off x="0" y="0"/>
                            <a:ext cx="6005830" cy="1757045"/>
                          </a:xfrm>
                          <a:prstGeom prst="rect">
                            <a:avLst/>
                          </a:prstGeom>
                        </pic:spPr>
                      </pic:pic>
                    </a:graphicData>
                  </a:graphic>
                </wp:anchor>
              </w:drawing>
            </w:r>
          </w:p>
          <w:p w:rsidR="00782A25" w:rsidRDefault="0029704B">
            <w:pPr>
              <w:pStyle w:val="BodyTextIndent"/>
              <w:ind w:left="0" w:firstLine="0"/>
            </w:pPr>
            <w:r>
              <w:rPr>
                <w:b/>
                <w:bCs/>
                <w:lang w:val="en-GB"/>
              </w:rPr>
              <w:lastRenderedPageBreak/>
              <w:t>B) Terminase, large subunit</w:t>
            </w:r>
          </w:p>
          <w:p w:rsidR="00782A25" w:rsidRDefault="0029704B">
            <w:pPr>
              <w:pStyle w:val="BodyTextIndent"/>
              <w:ind w:left="0" w:firstLine="0"/>
            </w:pPr>
            <w:r>
              <w:rPr>
                <w:noProof/>
              </w:rPr>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6005830" cy="1524635"/>
                  <wp:effectExtent l="0" t="0" r="0" b="0"/>
                  <wp:wrapTopAndBottom/>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22"/>
                          <a:stretch>
                            <a:fillRect/>
                          </a:stretch>
                        </pic:blipFill>
                        <pic:spPr bwMode="auto">
                          <a:xfrm>
                            <a:off x="0" y="0"/>
                            <a:ext cx="6005830" cy="1524635"/>
                          </a:xfrm>
                          <a:prstGeom prst="rect">
                            <a:avLst/>
                          </a:prstGeom>
                        </pic:spPr>
                      </pic:pic>
                    </a:graphicData>
                  </a:graphic>
                </wp:anchor>
              </w:drawing>
            </w:r>
          </w:p>
          <w:p w:rsidR="00782A25" w:rsidRDefault="00782A25">
            <w:pPr>
              <w:rPr>
                <w:rFonts w:ascii="Arial" w:hAnsi="Arial" w:cs="Arial"/>
                <w:color w:val="0000FF"/>
                <w:sz w:val="20"/>
              </w:rPr>
            </w:pPr>
          </w:p>
        </w:tc>
      </w:tr>
    </w:tbl>
    <w:p w:rsidR="00782A25" w:rsidRDefault="00782A25">
      <w:pPr>
        <w:rPr>
          <w:lang w:val="en-GB"/>
        </w:rPr>
      </w:pPr>
    </w:p>
    <w:tbl>
      <w:tblPr>
        <w:tblW w:w="9228" w:type="dxa"/>
        <w:tblLook w:val="04A0" w:firstRow="1" w:lastRow="0" w:firstColumn="1" w:lastColumn="0" w:noHBand="0" w:noVBand="1"/>
      </w:tblPr>
      <w:tblGrid>
        <w:gridCol w:w="9228"/>
      </w:tblGrid>
      <w:tr w:rsidR="00782A25">
        <w:trPr>
          <w:tblHeader/>
        </w:trPr>
        <w:tc>
          <w:tcPr>
            <w:tcW w:w="9228" w:type="dxa"/>
            <w:shd w:val="clear" w:color="auto" w:fill="auto"/>
          </w:tcPr>
          <w:p w:rsidR="00782A25" w:rsidRDefault="0029704B">
            <w:pPr>
              <w:spacing w:after="120"/>
            </w:pPr>
            <w:r>
              <w:rPr>
                <w:rFonts w:ascii="Arial" w:hAnsi="Arial" w:cs="Arial"/>
                <w:b/>
              </w:rPr>
              <w:t>References:</w:t>
            </w:r>
          </w:p>
        </w:tc>
      </w:tr>
      <w:tr w:rsidR="00782A25">
        <w:trPr>
          <w:trHeight w:val="860"/>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rsidR="00782A25" w:rsidRDefault="0029704B">
            <w:pPr>
              <w:pStyle w:val="BodyTextIndent"/>
              <w:ind w:left="567" w:hanging="567"/>
            </w:pPr>
            <w:r>
              <w:rPr>
                <w:rFonts w:ascii="Times New Roman" w:hAnsi="Times New Roman"/>
                <w:b/>
                <w:bCs/>
                <w:color w:val="000000"/>
                <w:lang w:val="en-GB"/>
              </w:rPr>
              <w:t xml:space="preserve">A. General - </w:t>
            </w:r>
          </w:p>
          <w:p w:rsidR="00782A25" w:rsidRDefault="0029704B">
            <w:pPr>
              <w:pStyle w:val="BodyTextIndent"/>
              <w:ind w:left="567" w:hanging="567"/>
              <w:rPr>
                <w:rFonts w:ascii="Times New Roman" w:hAnsi="Times New Roman"/>
                <w:color w:val="000000"/>
                <w:lang w:val="en-GB"/>
              </w:rPr>
            </w:pPr>
            <w:r>
              <w:rPr>
                <w:rFonts w:ascii="Times New Roman" w:hAnsi="Times New Roman"/>
                <w:color w:val="000000"/>
                <w:lang w:val="en-GB"/>
              </w:rPr>
              <w:t>1. Darling AE, Mau B, Perna NT. progressiveMauve: multiple genome alignment with gene gain, loss and rearrangement. PLoS One. 2010; 5(6):e11147.</w:t>
            </w:r>
          </w:p>
          <w:p w:rsidR="00782A25" w:rsidRDefault="0029704B">
            <w:pPr>
              <w:pStyle w:val="BodyTextIndent"/>
              <w:ind w:left="567" w:hanging="567"/>
            </w:pPr>
            <w:r>
              <w:rPr>
                <w:rFonts w:ascii="Times New Roman" w:hAnsi="Times New Roman"/>
                <w:color w:val="000000"/>
                <w:lang w:val="en-GB"/>
              </w:rPr>
              <w:t>2. Dereeper A, Guignon V, Blanc G, Audic S, Buffet S, Chevenet F, Dufayard JF, Guindon S, Lefort V, Lescot M, Claverie JM, Gascuel O. Phylogeny.fr: robust phylogenetic analysis for the non-specialist. Nucleic Acids Res. 2008; 36(Web Server issue):W465-9.</w:t>
            </w:r>
          </w:p>
          <w:p w:rsidR="00782A25" w:rsidRDefault="0029704B">
            <w:pPr>
              <w:pStyle w:val="BodyTextIndent"/>
              <w:ind w:left="567" w:hanging="567"/>
            </w:pPr>
            <w:r>
              <w:rPr>
                <w:rFonts w:ascii="Times New Roman" w:hAnsi="Times New Roman"/>
                <w:color w:val="000000"/>
                <w:lang w:val="en-GB"/>
              </w:rPr>
              <w:t>3. Agren J, Sundström A, Håfström T, Segerman B. Gegenees: fragmented alignment of multiple genomes for determining phylogenomic distances and genetic signatures unique for specified target groups. PLoS One. 2012;7(6):e39107.</w:t>
            </w:r>
          </w:p>
          <w:p w:rsidR="00782A25" w:rsidRDefault="0029704B">
            <w:pPr>
              <w:pStyle w:val="BodyTextIndent"/>
              <w:ind w:left="567" w:hanging="567"/>
            </w:pPr>
            <w:r>
              <w:rPr>
                <w:rFonts w:ascii="Times New Roman" w:hAnsi="Times New Roman"/>
                <w:color w:val="000000"/>
                <w:lang w:val="en-GB"/>
              </w:rPr>
              <w:t>4. Huang Y, Niu B, Gao Y, Fu L, Li W. CD-HIT Suite: a web server for clustering and comparing biological sequences. Bioinformatics. 2010; 26(5): 680–682. DOI: 10.1093/bioinformatics/btq003.</w:t>
            </w:r>
          </w:p>
          <w:p w:rsidR="00782A25" w:rsidRDefault="0029704B">
            <w:pPr>
              <w:pStyle w:val="BodyTextIndent"/>
              <w:ind w:left="567" w:hanging="567"/>
            </w:pPr>
            <w:r>
              <w:rPr>
                <w:rFonts w:ascii="Times New Roman" w:hAnsi="Times New Roman"/>
                <w:color w:val="000000"/>
                <w:lang w:val="en-GB"/>
              </w:rPr>
              <w:t>5. Sullivan MJ, Petty NK, Beatson EA. Easyfig: a genome comparison visualizer. Bioinformatics. 2011; 27(7): 1009–1010. DOI: 10.1093/bioinformatics/btr039.</w:t>
            </w:r>
          </w:p>
          <w:p w:rsidR="00782A25" w:rsidRDefault="0029704B">
            <w:pPr>
              <w:pStyle w:val="BodyTextIndent"/>
              <w:ind w:left="567" w:hanging="567"/>
              <w:rPr>
                <w:rFonts w:ascii="Times New Roman" w:hAnsi="Times New Roman"/>
                <w:color w:val="000000"/>
                <w:lang w:val="en-GB"/>
              </w:rPr>
            </w:pPr>
            <w:r>
              <w:rPr>
                <w:rFonts w:ascii="Times New Roman" w:hAnsi="Times New Roman"/>
                <w:color w:val="000000"/>
                <w:lang w:val="en-GB"/>
              </w:rPr>
              <w:t>6. Myers EW, Miller W. Optimal alignments in linear space. Computer Applications in the Biosciences : CABIOS. 1988, 4(1):11-17. PMID: 3382986.</w:t>
            </w:r>
          </w:p>
          <w:p w:rsidR="00782A25" w:rsidRDefault="00782A25">
            <w:pPr>
              <w:pStyle w:val="BodyTextIndent"/>
              <w:ind w:left="567" w:hanging="567"/>
              <w:rPr>
                <w:rFonts w:ascii="Times New Roman" w:hAnsi="Times New Roman"/>
                <w:b/>
                <w:bCs/>
                <w:color w:val="000000"/>
                <w:lang w:val="en-GB"/>
              </w:rPr>
            </w:pPr>
          </w:p>
          <w:p w:rsidR="00782A25" w:rsidRDefault="0029704B">
            <w:pPr>
              <w:pStyle w:val="BodyTextIndent"/>
              <w:ind w:left="567" w:hanging="567"/>
              <w:rPr>
                <w:rFonts w:ascii="Times New Roman" w:hAnsi="Times New Roman"/>
                <w:b/>
                <w:bCs/>
                <w:color w:val="000000"/>
                <w:lang w:val="en-GB"/>
              </w:rPr>
            </w:pPr>
            <w:r>
              <w:rPr>
                <w:rFonts w:ascii="Times New Roman" w:hAnsi="Times New Roman"/>
                <w:b/>
                <w:bCs/>
                <w:color w:val="000000"/>
                <w:lang w:val="en-GB"/>
              </w:rPr>
              <w:t xml:space="preserve">B. This TaxoProp Specifically - </w:t>
            </w:r>
          </w:p>
          <w:p w:rsidR="00782A25" w:rsidRDefault="0029704B">
            <w:pPr>
              <w:pStyle w:val="BodyTextIndent"/>
              <w:ind w:left="567" w:hanging="567"/>
            </w:pPr>
            <w:r>
              <w:rPr>
                <w:rFonts w:ascii="Times New Roman" w:hAnsi="Times New Roman"/>
                <w:color w:val="000000"/>
                <w:lang w:val="en-GB"/>
              </w:rPr>
              <w:t>7. Slopek, S., and T. Krzywy. Morphology and ultrastructure of bacteriophages. An electron microscopical study. 1985; Arch. Immunol. Ther. Exp. 33:1-217. PMID: 4062505.</w:t>
            </w:r>
          </w:p>
          <w:p w:rsidR="00782A25" w:rsidRDefault="0029704B">
            <w:pPr>
              <w:pStyle w:val="BodyTextIndent"/>
              <w:ind w:left="567" w:hanging="567"/>
            </w:pPr>
            <w:r>
              <w:rPr>
                <w:rFonts w:ascii="Times New Roman" w:hAnsi="Times New Roman"/>
                <w:color w:val="000000"/>
                <w:lang w:val="en-GB"/>
              </w:rPr>
              <w:t>8. Kwan T, Liu J, DuBow M, Gros P, Pelletier J. The complete genomes and proteomes of 27 Staphylococcus aureus bacteriophages. Proceedings of the National Academy of Sciences. 2005; 102 (14) 5174-5179. DOI: 10.1073/pnas.0501140102.</w:t>
            </w:r>
          </w:p>
          <w:p w:rsidR="00782A25" w:rsidRDefault="0029704B">
            <w:pPr>
              <w:pStyle w:val="BodyTextIndent"/>
              <w:ind w:left="567" w:hanging="567"/>
              <w:rPr>
                <w:rFonts w:ascii="Times New Roman" w:hAnsi="Times New Roman"/>
                <w:color w:val="000000"/>
              </w:rPr>
            </w:pPr>
            <w:r>
              <w:rPr>
                <w:rFonts w:ascii="Times New Roman" w:hAnsi="Times New Roman"/>
                <w:color w:val="000000"/>
                <w:lang w:val="en-GB"/>
              </w:rPr>
              <w:t>9.  Abaev I, Foster-Frey J,Korobova O, Shishkova N, Kiseleva N, Kopylov P, Pryamchuk S, Schmelcher M, Becker SC, Donovan DM. Staphylococcal phage 2638A endolysin is lytic for Staphylococcus aureus and harbors an inter-lytic-domain secondary translational start site. Applied Microbiology and Biotechnology. 2012; 97(8):3449-3456. DOI: 10.1007/s00253-012-4252-4.</w:t>
            </w:r>
          </w:p>
          <w:p w:rsidR="00782A25" w:rsidRDefault="00782A25">
            <w:pPr>
              <w:pStyle w:val="BodyTextIndent"/>
              <w:ind w:left="567" w:hanging="567"/>
              <w:rPr>
                <w:rFonts w:ascii="Times New Roman" w:hAnsi="Times New Roman"/>
                <w:color w:val="000000"/>
              </w:rPr>
            </w:pPr>
          </w:p>
        </w:tc>
      </w:tr>
    </w:tbl>
    <w:p w:rsidR="00782A25" w:rsidRDefault="00782A25">
      <w:pPr>
        <w:rPr>
          <w:lang w:val="en-GB"/>
        </w:rPr>
      </w:pPr>
    </w:p>
    <w:p w:rsidR="00782A25" w:rsidRDefault="0029704B">
      <w:pPr>
        <w:pStyle w:val="BodyTextIndent"/>
        <w:ind w:left="0" w:firstLine="0"/>
      </w:pPr>
      <w:r>
        <w:rPr>
          <w:noProof/>
        </w:rPr>
        <mc:AlternateContent>
          <mc:Choice Requires="wps">
            <w:drawing>
              <wp:anchor distT="0" distB="0" distL="114300" distR="114300" simplePos="0" relativeHeight="2" behindDoc="0" locked="0" layoutInCell="1" allowOverlap="1" wp14:anchorId="4239A908">
                <wp:simplePos x="0" y="0"/>
                <wp:positionH relativeFrom="column">
                  <wp:posOffset>0</wp:posOffset>
                </wp:positionH>
                <wp:positionV relativeFrom="paragraph">
                  <wp:posOffset>196850</wp:posOffset>
                </wp:positionV>
                <wp:extent cx="5601335" cy="1270"/>
                <wp:effectExtent l="25400" t="29845" r="38100" b="33655"/>
                <wp:wrapNone/>
                <wp:docPr id="8" name="Line 14"/>
                <wp:cNvGraphicFramePr/>
                <a:graphic xmlns:a="http://schemas.openxmlformats.org/drawingml/2006/main">
                  <a:graphicData uri="http://schemas.microsoft.com/office/word/2010/wordprocessingShape">
                    <wps:wsp>
                      <wps:cNvCnPr/>
                      <wps:spPr>
                        <a:xfrm>
                          <a:off x="0" y="0"/>
                          <a:ext cx="5600880" cy="720"/>
                        </a:xfrm>
                        <a:prstGeom prst="line">
                          <a:avLst/>
                        </a:prstGeom>
                        <a:ln w="25560">
                          <a:solidFill>
                            <a:srgbClr val="000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5.5pt" to="440.95pt,15.5pt" ID="Line 14" stroked="t" style="position:absolute" wp14:anchorId="4239A908">
                <v:stroke color="navy" weight="25560" joinstyle="round" endcap="flat"/>
                <v:fill o:detectmouseclick="t" on="false"/>
              </v:line>
            </w:pict>
          </mc:Fallback>
        </mc:AlternateContent>
      </w:r>
    </w:p>
    <w:sectPr w:rsidR="00782A25">
      <w:headerReference w:type="default" r:id="rId23"/>
      <w:footerReference w:type="default" r:id="rId24"/>
      <w:pgSz w:w="11906" w:h="16838"/>
      <w:pgMar w:top="1296" w:right="1008" w:bottom="1440" w:left="1440" w:header="706" w:footer="7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A21" w:rsidRDefault="006C7A21">
      <w:r>
        <w:separator/>
      </w:r>
    </w:p>
  </w:endnote>
  <w:endnote w:type="continuationSeparator" w:id="0">
    <w:p w:rsidR="006C7A21" w:rsidRDefault="006C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25" w:rsidRDefault="0029704B">
    <w:pPr>
      <w:pStyle w:val="Footer"/>
      <w:jc w:val="right"/>
    </w:pPr>
    <w:r>
      <w:rPr>
        <w:rFonts w:ascii="Arial" w:hAnsi="Arial" w:cs="Arial"/>
        <w:color w:val="808080"/>
        <w:sz w:val="20"/>
      </w:rPr>
      <w:t xml:space="preserve">Page </w:t>
    </w:r>
    <w:r>
      <w:rPr>
        <w:rFonts w:ascii="Arial" w:hAnsi="Arial" w:cs="Arial"/>
        <w:color w:val="808080"/>
        <w:sz w:val="20"/>
      </w:rPr>
      <w:fldChar w:fldCharType="begin"/>
    </w:r>
    <w:r>
      <w:rPr>
        <w:rFonts w:ascii="Arial" w:hAnsi="Arial" w:cs="Arial"/>
        <w:sz w:val="20"/>
      </w:rPr>
      <w:instrText>PAGE</w:instrText>
    </w:r>
    <w:r>
      <w:rPr>
        <w:rFonts w:ascii="Arial" w:hAnsi="Arial" w:cs="Arial"/>
        <w:sz w:val="20"/>
      </w:rPr>
      <w:fldChar w:fldCharType="separate"/>
    </w:r>
    <w:r>
      <w:rPr>
        <w:rFonts w:ascii="Arial" w:hAnsi="Arial" w:cs="Arial"/>
        <w:sz w:val="20"/>
      </w:rPr>
      <w:t>0</w:t>
    </w:r>
    <w:r>
      <w:rPr>
        <w:rFonts w:ascii="Arial" w:hAnsi="Arial" w:cs="Arial"/>
        <w:sz w:val="20"/>
      </w:rPr>
      <w:fldChar w:fldCharType="end"/>
    </w:r>
    <w:r>
      <w:rPr>
        <w:rFonts w:ascii="Arial" w:hAnsi="Arial" w:cs="Arial"/>
        <w:color w:val="808080"/>
        <w:sz w:val="20"/>
      </w:rPr>
      <w:t xml:space="preserve"> of </w:t>
    </w:r>
    <w:r>
      <w:rPr>
        <w:rFonts w:ascii="Arial" w:hAnsi="Arial" w:cs="Arial"/>
        <w:color w:val="808080"/>
        <w:sz w:val="20"/>
      </w:rPr>
      <w:fldChar w:fldCharType="begin"/>
    </w:r>
    <w:r>
      <w:rPr>
        <w:rFonts w:ascii="Arial" w:hAnsi="Arial" w:cs="Arial"/>
        <w:sz w:val="20"/>
      </w:rPr>
      <w:instrText>NUMPAGES</w:instrText>
    </w:r>
    <w:r>
      <w:rPr>
        <w:rFonts w:ascii="Arial" w:hAnsi="Arial" w:cs="Arial"/>
        <w:sz w:val="20"/>
      </w:rPr>
      <w:fldChar w:fldCharType="separate"/>
    </w:r>
    <w:r>
      <w:rPr>
        <w:rFonts w:ascii="Arial" w:hAnsi="Arial" w:cs="Arial"/>
        <w:sz w:val="20"/>
      </w:rPr>
      <w:t>7</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A21" w:rsidRDefault="006C7A21">
      <w:r>
        <w:separator/>
      </w:r>
    </w:p>
  </w:footnote>
  <w:footnote w:type="continuationSeparator" w:id="0">
    <w:p w:rsidR="006C7A21" w:rsidRDefault="006C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25" w:rsidRDefault="0029704B">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D2DBD"/>
    <w:multiLevelType w:val="multilevel"/>
    <w:tmpl w:val="B22E3C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84E1403"/>
    <w:multiLevelType w:val="multilevel"/>
    <w:tmpl w:val="D30ABC5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25"/>
    <w:rsid w:val="002421BD"/>
    <w:rsid w:val="00277894"/>
    <w:rsid w:val="0029704B"/>
    <w:rsid w:val="003A3399"/>
    <w:rsid w:val="00456E47"/>
    <w:rsid w:val="004636CE"/>
    <w:rsid w:val="006C7A21"/>
    <w:rsid w:val="00782A25"/>
    <w:rsid w:val="007F318A"/>
    <w:rsid w:val="00C30AC0"/>
    <w:rsid w:val="00C54730"/>
    <w:rsid w:val="00D507D8"/>
    <w:rsid w:val="00E16BFC"/>
    <w:rsid w:val="00E64A7D"/>
    <w:rsid w:val="00F71B1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74D3"/>
  <w15:docId w15:val="{8E32A36F-32D3-4BD8-BE9F-30FD3C3F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15EC4"/>
    <w:rPr>
      <w:color w:val="0000FF"/>
      <w:u w:val="single"/>
    </w:rPr>
  </w:style>
  <w:style w:type="character" w:customStyle="1" w:styleId="BodyTextIndentChar">
    <w:name w:val="Body Text Indent Char"/>
    <w:link w:val="BodyTextIndent"/>
    <w:semiHidden/>
    <w:qFormat/>
    <w:rsid w:val="00236673"/>
    <w:rPr>
      <w:rFonts w:ascii="Times" w:eastAsia="Times" w:hAnsi="Times"/>
      <w:sz w:val="24"/>
      <w:lang w:val="en-US"/>
    </w:rPr>
  </w:style>
  <w:style w:type="character" w:customStyle="1" w:styleId="HeaderChar">
    <w:name w:val="Header Char"/>
    <w:link w:val="Header"/>
    <w:uiPriority w:val="99"/>
    <w:qFormat/>
    <w:rsid w:val="00D227FA"/>
    <w:rPr>
      <w:sz w:val="24"/>
      <w:szCs w:val="24"/>
      <w:lang w:val="en-US" w:eastAsia="en-US"/>
    </w:rPr>
  </w:style>
  <w:style w:type="character" w:customStyle="1" w:styleId="ListLabel1">
    <w:name w:val="ListLabel 1"/>
    <w:qFormat/>
    <w:rsid w:val="008A1512"/>
    <w:rPr>
      <w:color w:val="0000FF"/>
      <w:sz w:val="20"/>
    </w:rPr>
  </w:style>
  <w:style w:type="character" w:styleId="UnresolvedMention">
    <w:name w:val="Unresolved Mention"/>
    <w:basedOn w:val="DefaultParagraphFont"/>
    <w:uiPriority w:val="99"/>
    <w:semiHidden/>
    <w:unhideWhenUsed/>
    <w:qFormat/>
    <w:rsid w:val="007D1372"/>
    <w:rPr>
      <w:color w:val="605E5C"/>
      <w:shd w:val="clear" w:color="auto" w:fill="E1DFDD"/>
    </w:rPr>
  </w:style>
  <w:style w:type="character" w:customStyle="1" w:styleId="ListLabel2">
    <w:name w:val="ListLabel 2"/>
    <w:qFormat/>
    <w:rPr>
      <w:color w:val="0000FF"/>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0000FF"/>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color w:val="auto"/>
      <w:sz w:val="20"/>
    </w:rPr>
  </w:style>
  <w:style w:type="character" w:customStyle="1" w:styleId="ListLabel15">
    <w:name w:val="ListLabel 15"/>
    <w:qFormat/>
    <w:rPr>
      <w:rFonts w:cs="Courier New"/>
    </w:rPr>
  </w:style>
  <w:style w:type="character" w:customStyle="1" w:styleId="ListLabel16">
    <w:name w:val="ListLabel 16"/>
    <w:qFormat/>
    <w:rPr>
      <w:color w:val="auto"/>
      <w:sz w:val="2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color w:val="auto"/>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auto"/>
      <w:sz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auto"/>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i w:val="0"/>
      <w:color w:val="FF000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auto"/>
      <w:sz w:val="20"/>
    </w:rPr>
  </w:style>
  <w:style w:type="character" w:customStyle="1" w:styleId="ListLabel40">
    <w:name w:val="ListLabel 40"/>
    <w:qFormat/>
    <w:rPr>
      <w:rFonts w:cs="Courier New"/>
    </w:rPr>
  </w:style>
  <w:style w:type="character" w:customStyle="1" w:styleId="ListLabel41">
    <w:name w:val="ListLabel 41"/>
    <w:qFormat/>
    <w:rPr>
      <w:color w:val="auto"/>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color w:val="0000FF"/>
      <w:sz w:val="20"/>
    </w:rPr>
  </w:style>
  <w:style w:type="character" w:customStyle="1" w:styleId="ListLabel45">
    <w:name w:val="ListLabel 45"/>
    <w:qFormat/>
    <w:rPr>
      <w:rFonts w:cs="Courier New"/>
    </w:rPr>
  </w:style>
  <w:style w:type="character" w:customStyle="1" w:styleId="ListLabel46">
    <w:name w:val="ListLabel 46"/>
    <w:qFormat/>
    <w:rPr>
      <w:color w:val="auto"/>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auto"/>
      <w:sz w:val="20"/>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color w:val="auto"/>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color w:val="auto"/>
      <w:sz w:val="20"/>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color w:val="auto"/>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color w:val="0000FF"/>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Arial" w:hAnsi="Arial" w:cs="Courier New"/>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Arial" w:hAnsi="Arial" w:cs="Arial"/>
      <w:sz w:val="20"/>
      <w:lang w:val="en-GB"/>
    </w:rPr>
  </w:style>
  <w:style w:type="character" w:customStyle="1" w:styleId="ListLabel76">
    <w:name w:val="ListLabel 76"/>
    <w:qFormat/>
    <w:rPr>
      <w:rFonts w:ascii="Arial" w:hAnsi="Arial" w:cs="Arial"/>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qFormat/>
    <w:rsid w:val="00210B49"/>
    <w:rPr>
      <w:rFonts w:ascii="Tahoma" w:hAnsi="Tahoma"/>
      <w:sz w:val="16"/>
      <w:szCs w:val="16"/>
    </w:rPr>
  </w:style>
  <w:style w:type="paragraph" w:customStyle="1" w:styleId="TableContents">
    <w:name w:val="Table Contents"/>
    <w:basedOn w:val="Normal"/>
    <w:qFormat/>
    <w:rsid w:val="008A1512"/>
    <w:pPr>
      <w:suppressLineNumbers/>
    </w:p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elien.adriaenssens@quadram.ac.uk"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pantucek@sci.muni.cz"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tvonline.org/subcommittees.as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ka.vrbovska@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hage.canada@gmail.com" TargetMode="External"/><Relationship Id="rId23" Type="http://schemas.openxmlformats.org/officeDocument/2006/relationships/header" Target="header1.xml"/><Relationship Id="rId10" Type="http://schemas.openxmlformats.org/officeDocument/2006/relationships/hyperlink" Target="mailto:bardy.pavol@mail.muni.cz"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ichal.zeman91@gmail.com" TargetMode="External"/><Relationship Id="rId14" Type="http://schemas.openxmlformats.org/officeDocument/2006/relationships/hyperlink" Target="mailto:phage.canada@gmail.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2EC8-39BC-C845-B192-906AB364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1663</Words>
  <Characters>9483</Characters>
  <Application>Microsoft Office Word</Application>
  <DocSecurity>0</DocSecurity>
  <Lines>79</Lines>
  <Paragraphs>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dc:description/>
  <cp:lastModifiedBy>Peter Walker</cp:lastModifiedBy>
  <cp:revision>5</cp:revision>
  <cp:lastPrinted>2017-01-11T11:49:00Z</cp:lastPrinted>
  <dcterms:created xsi:type="dcterms:W3CDTF">2019-06-06T15:29:00Z</dcterms:created>
  <dcterms:modified xsi:type="dcterms:W3CDTF">2019-08-30T06:33:00Z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