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164AA" w14:textId="77777777" w:rsidR="00DC1295" w:rsidRDefault="00977891">
      <w:r>
        <w:rPr>
          <w:noProof/>
        </w:rPr>
        <w:drawing>
          <wp:anchor distT="0" distB="0" distL="114300" distR="114300" simplePos="0" relativeHeight="251658240" behindDoc="0" locked="0" layoutInCell="1" hidden="0" allowOverlap="1" wp14:anchorId="6DB2C02A" wp14:editId="7D830AB5">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F2F9F5A" w14:textId="77777777" w:rsidR="00DC1295" w:rsidRDefault="00DC1295">
      <w:pPr>
        <w:rPr>
          <w:rFonts w:ascii="Arial" w:eastAsia="Arial" w:hAnsi="Arial" w:cs="Arial"/>
          <w:color w:val="0000FF"/>
          <w:sz w:val="20"/>
          <w:szCs w:val="20"/>
        </w:rPr>
      </w:pPr>
    </w:p>
    <w:p w14:paraId="6101387A" w14:textId="77777777" w:rsidR="00DC1295" w:rsidRDefault="00DC1295">
      <w:pPr>
        <w:rPr>
          <w:rFonts w:ascii="Arial" w:eastAsia="Arial" w:hAnsi="Arial" w:cs="Arial"/>
          <w:color w:val="0000FF"/>
          <w:sz w:val="20"/>
          <w:szCs w:val="20"/>
        </w:rPr>
      </w:pPr>
    </w:p>
    <w:p w14:paraId="06E09909" w14:textId="77777777" w:rsidR="00DC1295" w:rsidRDefault="00DC1295">
      <w:pPr>
        <w:rPr>
          <w:rFonts w:ascii="Arial" w:eastAsia="Arial" w:hAnsi="Arial" w:cs="Arial"/>
          <w:color w:val="0000FF"/>
          <w:sz w:val="20"/>
          <w:szCs w:val="20"/>
        </w:rPr>
      </w:pPr>
    </w:p>
    <w:p w14:paraId="715B9348" w14:textId="77777777" w:rsidR="00DC1295" w:rsidRDefault="00DC1295">
      <w:pPr>
        <w:rPr>
          <w:rFonts w:ascii="Arial" w:eastAsia="Arial" w:hAnsi="Arial" w:cs="Arial"/>
          <w:color w:val="0000FF"/>
          <w:sz w:val="20"/>
          <w:szCs w:val="20"/>
        </w:rPr>
      </w:pPr>
    </w:p>
    <w:p w14:paraId="612E2704" w14:textId="77777777" w:rsidR="00DC1295" w:rsidRDefault="00DC1295">
      <w:pPr>
        <w:rPr>
          <w:rFonts w:ascii="Arial" w:eastAsia="Arial" w:hAnsi="Arial" w:cs="Arial"/>
          <w:color w:val="0000FF"/>
          <w:sz w:val="20"/>
          <w:szCs w:val="20"/>
        </w:rPr>
      </w:pPr>
    </w:p>
    <w:p w14:paraId="429BBA04" w14:textId="77777777" w:rsidR="00DC1295" w:rsidRDefault="00DC1295">
      <w:pPr>
        <w:rPr>
          <w:rFonts w:ascii="Arial" w:eastAsia="Arial" w:hAnsi="Arial" w:cs="Arial"/>
          <w:color w:val="0000FF"/>
          <w:sz w:val="20"/>
          <w:szCs w:val="20"/>
        </w:rPr>
      </w:pPr>
    </w:p>
    <w:p w14:paraId="6B3C0511" w14:textId="77777777" w:rsidR="00DC1295" w:rsidRDefault="00977891">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789B404E" w14:textId="77777777" w:rsidR="00DC1295" w:rsidRDefault="00DC1295">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DC1295" w14:paraId="742CC0AE" w14:textId="77777777">
        <w:tc>
          <w:tcPr>
            <w:tcW w:w="3553" w:type="dxa"/>
            <w:tcBorders>
              <w:top w:val="single" w:sz="4" w:space="0" w:color="000000"/>
              <w:left w:val="single" w:sz="4" w:space="0" w:color="000000"/>
              <w:right w:val="single" w:sz="4" w:space="0" w:color="000000"/>
            </w:tcBorders>
            <w:shd w:val="clear" w:color="auto" w:fill="auto"/>
            <w:vAlign w:val="center"/>
          </w:tcPr>
          <w:p w14:paraId="76FED629" w14:textId="77777777" w:rsidR="00DC1295" w:rsidRDefault="00977891">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296ADD67" w14:textId="77777777" w:rsidR="00DC1295" w:rsidRDefault="00977891">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2021.072B</w:t>
            </w:r>
          </w:p>
        </w:tc>
        <w:tc>
          <w:tcPr>
            <w:tcW w:w="710" w:type="dxa"/>
            <w:tcBorders>
              <w:top w:val="single" w:sz="4" w:space="0" w:color="000000"/>
              <w:left w:val="single" w:sz="4" w:space="0" w:color="000000"/>
              <w:right w:val="single" w:sz="4" w:space="0" w:color="000000"/>
            </w:tcBorders>
            <w:shd w:val="clear" w:color="auto" w:fill="auto"/>
            <w:vAlign w:val="center"/>
          </w:tcPr>
          <w:p w14:paraId="03BC91A9" w14:textId="77777777" w:rsidR="00DC1295" w:rsidRDefault="00DC1295">
            <w:pPr>
              <w:pBdr>
                <w:top w:val="nil"/>
                <w:left w:val="nil"/>
                <w:bottom w:val="nil"/>
                <w:right w:val="nil"/>
                <w:between w:val="nil"/>
              </w:pBdr>
              <w:rPr>
                <w:rFonts w:ascii="Arial" w:eastAsia="Arial" w:hAnsi="Arial" w:cs="Arial"/>
                <w:color w:val="000000"/>
              </w:rPr>
            </w:pPr>
          </w:p>
        </w:tc>
      </w:tr>
      <w:tr w:rsidR="00DC1295" w14:paraId="705C6992" w14:textId="77777777">
        <w:tc>
          <w:tcPr>
            <w:tcW w:w="9072" w:type="dxa"/>
            <w:gridSpan w:val="3"/>
            <w:tcBorders>
              <w:left w:val="single" w:sz="4" w:space="0" w:color="000000"/>
              <w:right w:val="single" w:sz="4" w:space="0" w:color="000000"/>
            </w:tcBorders>
            <w:shd w:val="clear" w:color="auto" w:fill="auto"/>
          </w:tcPr>
          <w:p w14:paraId="73E8CD91" w14:textId="77777777" w:rsidR="00DC1295" w:rsidRDefault="00977891">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 xml:space="preserve">Create four new species in the genus </w:t>
            </w:r>
            <w:r>
              <w:rPr>
                <w:rFonts w:ascii="Arial" w:eastAsia="Arial" w:hAnsi="Arial" w:cs="Arial"/>
                <w:i/>
              </w:rPr>
              <w:t>Rosenblumvirus</w:t>
            </w:r>
            <w:r>
              <w:rPr>
                <w:rFonts w:ascii="Arial" w:eastAsia="Arial" w:hAnsi="Arial" w:cs="Arial"/>
              </w:rPr>
              <w:t xml:space="preserve">, subfamily </w:t>
            </w:r>
            <w:r>
              <w:rPr>
                <w:rFonts w:ascii="Arial" w:eastAsia="Arial" w:hAnsi="Arial" w:cs="Arial"/>
                <w:i/>
              </w:rPr>
              <w:t>Rakietenvirinae</w:t>
            </w:r>
            <w:r>
              <w:rPr>
                <w:rFonts w:ascii="Arial" w:eastAsia="Arial" w:hAnsi="Arial" w:cs="Arial"/>
              </w:rPr>
              <w:t xml:space="preserve"> (</w:t>
            </w:r>
            <w:r>
              <w:rPr>
                <w:rFonts w:ascii="Arial" w:eastAsia="Arial" w:hAnsi="Arial" w:cs="Arial"/>
                <w:i/>
              </w:rPr>
              <w:t>Rountreeviridae</w:t>
            </w:r>
            <w:r>
              <w:rPr>
                <w:rFonts w:ascii="Arial" w:eastAsia="Arial" w:hAnsi="Arial" w:cs="Arial"/>
              </w:rPr>
              <w:t>)</w:t>
            </w:r>
          </w:p>
          <w:p w14:paraId="45232558" w14:textId="77777777" w:rsidR="00DC1295" w:rsidRDefault="00DC1295">
            <w:pPr>
              <w:spacing w:before="120"/>
              <w:rPr>
                <w:rFonts w:ascii="Arial" w:eastAsia="Arial" w:hAnsi="Arial" w:cs="Arial"/>
                <w:b/>
                <w:sz w:val="22"/>
                <w:szCs w:val="22"/>
              </w:rPr>
            </w:pPr>
          </w:p>
        </w:tc>
      </w:tr>
      <w:tr w:rsidR="00DC1295" w14:paraId="6D49A98C"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244B069E" w14:textId="77777777" w:rsidR="00DC1295" w:rsidRDefault="00DC1295">
            <w:pPr>
              <w:rPr>
                <w:rFonts w:ascii="Arial" w:eastAsia="Arial" w:hAnsi="Arial" w:cs="Arial"/>
                <w:b/>
                <w:sz w:val="22"/>
                <w:szCs w:val="22"/>
              </w:rPr>
            </w:pPr>
          </w:p>
        </w:tc>
      </w:tr>
    </w:tbl>
    <w:p w14:paraId="3DFA4B02" w14:textId="77777777" w:rsidR="00DC1295" w:rsidRDefault="00977891">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DC1295" w14:paraId="46A90438" w14:textId="77777777">
        <w:tc>
          <w:tcPr>
            <w:tcW w:w="4368" w:type="dxa"/>
            <w:shd w:val="clear" w:color="auto" w:fill="auto"/>
          </w:tcPr>
          <w:p w14:paraId="461C5BFA" w14:textId="77777777" w:rsidR="00DC1295" w:rsidRDefault="00977891">
            <w:pPr>
              <w:rPr>
                <w:sz w:val="22"/>
                <w:szCs w:val="22"/>
              </w:rPr>
            </w:pPr>
            <w:r>
              <w:rPr>
                <w:rFonts w:ascii="Arial" w:eastAsia="Arial" w:hAnsi="Arial" w:cs="Arial"/>
                <w:sz w:val="22"/>
                <w:szCs w:val="22"/>
              </w:rPr>
              <w:t>Łobocka M,</w:t>
            </w:r>
            <w:r>
              <w:rPr>
                <w:sz w:val="22"/>
                <w:szCs w:val="22"/>
              </w:rPr>
              <w:t xml:space="preserve"> </w:t>
            </w:r>
            <w:r>
              <w:rPr>
                <w:rFonts w:ascii="Arial" w:eastAsia="Arial" w:hAnsi="Arial" w:cs="Arial"/>
                <w:sz w:val="22"/>
                <w:szCs w:val="22"/>
              </w:rPr>
              <w:t>Stefańczyk E,</w:t>
            </w:r>
            <w:r>
              <w:rPr>
                <w:sz w:val="22"/>
                <w:szCs w:val="22"/>
              </w:rPr>
              <w:t xml:space="preserve"> </w:t>
            </w:r>
            <w:r>
              <w:rPr>
                <w:rFonts w:ascii="Arial" w:eastAsia="Arial" w:hAnsi="Arial" w:cs="Arial"/>
                <w:sz w:val="22"/>
                <w:szCs w:val="22"/>
              </w:rPr>
              <w:t>Adriaenssens EM,</w:t>
            </w:r>
            <w:r>
              <w:rPr>
                <w:sz w:val="22"/>
                <w:szCs w:val="22"/>
              </w:rPr>
              <w:t xml:space="preserve"> </w:t>
            </w:r>
            <w:r>
              <w:rPr>
                <w:rFonts w:ascii="Arial" w:eastAsia="Arial" w:hAnsi="Arial" w:cs="Arial"/>
                <w:sz w:val="22"/>
                <w:szCs w:val="22"/>
              </w:rPr>
              <w:t>Kropinski AM,</w:t>
            </w:r>
            <w:r>
              <w:rPr>
                <w:sz w:val="22"/>
                <w:szCs w:val="22"/>
              </w:rPr>
              <w:t xml:space="preserve"> </w:t>
            </w:r>
            <w:r>
              <w:rPr>
                <w:rFonts w:ascii="Arial" w:eastAsia="Arial" w:hAnsi="Arial" w:cs="Arial"/>
                <w:sz w:val="22"/>
                <w:szCs w:val="22"/>
              </w:rPr>
              <w:t>Turner D</w:t>
            </w:r>
          </w:p>
        </w:tc>
        <w:tc>
          <w:tcPr>
            <w:tcW w:w="4704" w:type="dxa"/>
            <w:shd w:val="clear" w:color="auto" w:fill="auto"/>
          </w:tcPr>
          <w:p w14:paraId="49014DE7" w14:textId="77777777" w:rsidR="00DC1295" w:rsidRDefault="00977891">
            <w:pPr>
              <w:rPr>
                <w:sz w:val="22"/>
                <w:szCs w:val="22"/>
              </w:rPr>
            </w:pPr>
            <w:r>
              <w:rPr>
                <w:rFonts w:ascii="Arial" w:eastAsia="Arial" w:hAnsi="Arial" w:cs="Arial"/>
                <w:sz w:val="22"/>
                <w:szCs w:val="22"/>
              </w:rPr>
              <w:t>lobocka@ibb.waw.pl;</w:t>
            </w:r>
          </w:p>
          <w:p w14:paraId="521666B7" w14:textId="77777777" w:rsidR="00DC1295" w:rsidRDefault="00977891">
            <w:pPr>
              <w:rPr>
                <w:sz w:val="22"/>
                <w:szCs w:val="22"/>
              </w:rPr>
            </w:pPr>
            <w:r>
              <w:rPr>
                <w:rFonts w:ascii="Arial" w:eastAsia="Arial" w:hAnsi="Arial" w:cs="Arial"/>
                <w:sz w:val="22"/>
                <w:szCs w:val="22"/>
              </w:rPr>
              <w:t>e.stefanczyk@ibb.waw.pl;</w:t>
            </w:r>
          </w:p>
          <w:p w14:paraId="406F657A" w14:textId="77777777" w:rsidR="00DC1295" w:rsidRDefault="00977891">
            <w:pPr>
              <w:rPr>
                <w:sz w:val="22"/>
                <w:szCs w:val="22"/>
              </w:rPr>
            </w:pPr>
            <w:r>
              <w:rPr>
                <w:rFonts w:ascii="Arial" w:eastAsia="Arial" w:hAnsi="Arial" w:cs="Arial"/>
                <w:sz w:val="22"/>
                <w:szCs w:val="22"/>
              </w:rPr>
              <w:t>evelien.adriaenssens@quadram.ac.uk;</w:t>
            </w:r>
          </w:p>
          <w:p w14:paraId="0C94E1D9" w14:textId="77777777" w:rsidR="00DC1295" w:rsidRDefault="00977891">
            <w:pPr>
              <w:rPr>
                <w:rFonts w:ascii="Arial" w:eastAsia="Arial" w:hAnsi="Arial" w:cs="Arial"/>
                <w:sz w:val="22"/>
                <w:szCs w:val="22"/>
              </w:rPr>
            </w:pPr>
            <w:r>
              <w:rPr>
                <w:rFonts w:ascii="Arial" w:eastAsia="Arial" w:hAnsi="Arial" w:cs="Arial"/>
                <w:sz w:val="22"/>
                <w:szCs w:val="22"/>
              </w:rPr>
              <w:t>Phage.Canada@gmail.com; dann2.turner@uwe.ac.uk</w:t>
            </w:r>
          </w:p>
        </w:tc>
      </w:tr>
    </w:tbl>
    <w:p w14:paraId="5D13AFA2" w14:textId="77777777" w:rsidR="00DC1295" w:rsidRDefault="00977891">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5745CB24" w14:textId="77777777" w:rsidR="00DC1295" w:rsidRDefault="00DC1295">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C1295" w14:paraId="7CC8D6CD" w14:textId="77777777">
        <w:tc>
          <w:tcPr>
            <w:tcW w:w="9072" w:type="dxa"/>
            <w:shd w:val="clear" w:color="auto" w:fill="auto"/>
          </w:tcPr>
          <w:p w14:paraId="2B8F167F" w14:textId="77777777" w:rsidR="00DC1295" w:rsidRDefault="00DC1295">
            <w:pPr>
              <w:rPr>
                <w:rFonts w:ascii="Arial" w:eastAsia="Arial" w:hAnsi="Arial" w:cs="Arial"/>
                <w:sz w:val="22"/>
                <w:szCs w:val="22"/>
              </w:rPr>
            </w:pPr>
          </w:p>
          <w:p w14:paraId="2B5EC7A0" w14:textId="77777777" w:rsidR="00DC1295" w:rsidRDefault="00977891">
            <w:r>
              <w:rPr>
                <w:rFonts w:ascii="Arial" w:eastAsia="Arial" w:hAnsi="Arial" w:cs="Arial"/>
                <w:sz w:val="22"/>
                <w:szCs w:val="22"/>
              </w:rPr>
              <w:t>Institute of Biochemistry and Biophysics of the Polish Academy of Sciences Poland [MŁ]</w:t>
            </w:r>
          </w:p>
          <w:p w14:paraId="6E1D1585" w14:textId="77777777" w:rsidR="00DC1295" w:rsidRDefault="00977891">
            <w:r>
              <w:rPr>
                <w:rFonts w:ascii="Arial" w:eastAsia="Arial" w:hAnsi="Arial" w:cs="Arial"/>
                <w:sz w:val="22"/>
                <w:szCs w:val="22"/>
              </w:rPr>
              <w:t>Institute of Biochemistry and Biophysics of the Polish Academy of Sciences Poland [ES]</w:t>
            </w:r>
          </w:p>
          <w:p w14:paraId="6CCF8BB2" w14:textId="77777777" w:rsidR="00DC1295" w:rsidRDefault="00977891">
            <w:pPr>
              <w:rPr>
                <w:rFonts w:ascii="Arial" w:eastAsia="Arial" w:hAnsi="Arial" w:cs="Arial"/>
                <w:sz w:val="22"/>
                <w:szCs w:val="22"/>
              </w:rPr>
            </w:pPr>
            <w:r>
              <w:rPr>
                <w:rFonts w:ascii="Arial" w:eastAsia="Arial" w:hAnsi="Arial" w:cs="Arial"/>
                <w:sz w:val="22"/>
                <w:szCs w:val="22"/>
              </w:rPr>
              <w:t>Quadram Institute, UK [EMA]</w:t>
            </w:r>
          </w:p>
          <w:p w14:paraId="712F1995" w14:textId="77777777" w:rsidR="00DC1295" w:rsidRDefault="00977891">
            <w:pPr>
              <w:rPr>
                <w:rFonts w:ascii="Arial" w:eastAsia="Arial" w:hAnsi="Arial" w:cs="Arial"/>
                <w:sz w:val="22"/>
                <w:szCs w:val="22"/>
              </w:rPr>
            </w:pPr>
            <w:r>
              <w:rPr>
                <w:rFonts w:ascii="Arial" w:eastAsia="Arial" w:hAnsi="Arial" w:cs="Arial"/>
                <w:sz w:val="22"/>
                <w:szCs w:val="22"/>
              </w:rPr>
              <w:t>University of Guelph, Canada [AMK]</w:t>
            </w:r>
          </w:p>
          <w:p w14:paraId="36F554F4" w14:textId="77777777" w:rsidR="00DC1295" w:rsidRDefault="00977891">
            <w:pPr>
              <w:rPr>
                <w:rFonts w:ascii="Arial" w:eastAsia="Arial" w:hAnsi="Arial" w:cs="Arial"/>
                <w:sz w:val="22"/>
                <w:szCs w:val="22"/>
              </w:rPr>
            </w:pPr>
            <w:r>
              <w:rPr>
                <w:rFonts w:ascii="Arial" w:eastAsia="Arial" w:hAnsi="Arial" w:cs="Arial"/>
                <w:sz w:val="22"/>
                <w:szCs w:val="22"/>
              </w:rPr>
              <w:t>University of the West of England, UK [DT]</w:t>
            </w:r>
          </w:p>
        </w:tc>
      </w:tr>
    </w:tbl>
    <w:p w14:paraId="3FE55F39" w14:textId="77777777" w:rsidR="00DC1295" w:rsidRDefault="00977891">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C1295" w14:paraId="019DBBAC" w14:textId="77777777">
        <w:tc>
          <w:tcPr>
            <w:tcW w:w="9072" w:type="dxa"/>
            <w:shd w:val="clear" w:color="auto" w:fill="auto"/>
          </w:tcPr>
          <w:p w14:paraId="5D82E526" w14:textId="77777777" w:rsidR="00DC1295" w:rsidRDefault="00977891">
            <w:pPr>
              <w:rPr>
                <w:rFonts w:ascii="Arial" w:eastAsia="Arial" w:hAnsi="Arial" w:cs="Arial"/>
                <w:sz w:val="22"/>
                <w:szCs w:val="22"/>
              </w:rPr>
            </w:pPr>
            <w:r>
              <w:rPr>
                <w:rFonts w:ascii="Arial" w:eastAsia="Arial" w:hAnsi="Arial" w:cs="Arial"/>
                <w:sz w:val="22"/>
                <w:szCs w:val="22"/>
              </w:rPr>
              <w:t>Malgorzata Łobocka</w:t>
            </w:r>
          </w:p>
        </w:tc>
      </w:tr>
    </w:tbl>
    <w:p w14:paraId="1B35794C" w14:textId="77777777" w:rsidR="00DC1295" w:rsidRDefault="00977891">
      <w:pPr>
        <w:spacing w:before="120" w:after="120"/>
        <w:rPr>
          <w:rFonts w:ascii="Arial" w:eastAsia="Arial" w:hAnsi="Arial" w:cs="Arial"/>
          <w:b/>
        </w:rPr>
      </w:pPr>
      <w:r>
        <w:rPr>
          <w:rFonts w:ascii="Arial" w:eastAsia="Arial" w:hAnsi="Arial" w:cs="Arial"/>
          <w:b/>
        </w:rPr>
        <w:t>List the ICTV Study Group(s) that have seen this proposal</w:t>
      </w:r>
    </w:p>
    <w:p w14:paraId="6D7B1AD8" w14:textId="77777777" w:rsidR="00DC1295" w:rsidRDefault="00DC1295"/>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C1295" w14:paraId="1AD77877" w14:textId="77777777">
        <w:tc>
          <w:tcPr>
            <w:tcW w:w="9072" w:type="dxa"/>
            <w:shd w:val="clear" w:color="auto" w:fill="auto"/>
          </w:tcPr>
          <w:p w14:paraId="26C1CBB1" w14:textId="77777777" w:rsidR="00DC1295" w:rsidRDefault="00977891">
            <w:pPr>
              <w:pStyle w:val="Heading1"/>
              <w:rPr>
                <w:b w:val="0"/>
              </w:rPr>
            </w:pPr>
            <w:r>
              <w:rPr>
                <w:rFonts w:ascii="Arial" w:eastAsia="Arial" w:hAnsi="Arial" w:cs="Arial"/>
                <w:b w:val="0"/>
                <w:sz w:val="22"/>
                <w:szCs w:val="22"/>
              </w:rPr>
              <w:t>Salasmaviridae, Rountreeviridae, Guelinviridae Study Group, Bacterial Viruses Subcommittee</w:t>
            </w:r>
          </w:p>
          <w:p w14:paraId="73B000DE" w14:textId="77777777" w:rsidR="00DC1295" w:rsidRDefault="00DC1295">
            <w:pPr>
              <w:rPr>
                <w:rFonts w:ascii="Arial" w:eastAsia="Arial" w:hAnsi="Arial" w:cs="Arial"/>
                <w:sz w:val="22"/>
                <w:szCs w:val="22"/>
              </w:rPr>
            </w:pPr>
          </w:p>
          <w:p w14:paraId="421E2DFF" w14:textId="77777777" w:rsidR="00DC1295" w:rsidRDefault="00DC1295">
            <w:pPr>
              <w:rPr>
                <w:rFonts w:ascii="Arial" w:eastAsia="Arial" w:hAnsi="Arial" w:cs="Arial"/>
                <w:sz w:val="22"/>
                <w:szCs w:val="22"/>
              </w:rPr>
            </w:pPr>
          </w:p>
        </w:tc>
      </w:tr>
    </w:tbl>
    <w:p w14:paraId="57352520" w14:textId="77777777" w:rsidR="00DC1295" w:rsidRDefault="00977891">
      <w:pPr>
        <w:spacing w:before="120" w:after="120"/>
        <w:rPr>
          <w:rFonts w:ascii="Arial" w:eastAsia="Arial" w:hAnsi="Arial" w:cs="Arial"/>
          <w:b/>
        </w:rPr>
      </w:pPr>
      <w:r>
        <w:rPr>
          <w:rFonts w:ascii="Arial" w:eastAsia="Arial" w:hAnsi="Arial" w:cs="Arial"/>
          <w:b/>
        </w:rPr>
        <w:t>ICTV study group comments and response of proposer</w:t>
      </w:r>
    </w:p>
    <w:p w14:paraId="2CDE29CC" w14:textId="77777777" w:rsidR="00DC1295" w:rsidRDefault="00DC1295">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C1295" w14:paraId="01630468" w14:textId="77777777">
        <w:tc>
          <w:tcPr>
            <w:tcW w:w="9072" w:type="dxa"/>
            <w:shd w:val="clear" w:color="auto" w:fill="auto"/>
          </w:tcPr>
          <w:p w14:paraId="61F64389" w14:textId="77777777" w:rsidR="00DC1295" w:rsidRDefault="00DC1295">
            <w:pPr>
              <w:rPr>
                <w:rFonts w:ascii="Arial" w:eastAsia="Arial" w:hAnsi="Arial" w:cs="Arial"/>
                <w:sz w:val="22"/>
                <w:szCs w:val="22"/>
              </w:rPr>
            </w:pPr>
          </w:p>
          <w:p w14:paraId="3F89C319" w14:textId="77777777" w:rsidR="00DC1295" w:rsidRDefault="00DC1295">
            <w:pPr>
              <w:rPr>
                <w:rFonts w:ascii="Arial" w:eastAsia="Arial" w:hAnsi="Arial" w:cs="Arial"/>
                <w:sz w:val="22"/>
                <w:szCs w:val="22"/>
              </w:rPr>
            </w:pPr>
          </w:p>
          <w:p w14:paraId="230E783D" w14:textId="77777777" w:rsidR="00DC1295" w:rsidRDefault="00DC1295">
            <w:pPr>
              <w:rPr>
                <w:rFonts w:ascii="Arial" w:eastAsia="Arial" w:hAnsi="Arial" w:cs="Arial"/>
                <w:sz w:val="22"/>
                <w:szCs w:val="22"/>
              </w:rPr>
            </w:pPr>
          </w:p>
          <w:p w14:paraId="7D27940C" w14:textId="77777777" w:rsidR="00DC1295" w:rsidRDefault="00DC1295">
            <w:pPr>
              <w:rPr>
                <w:rFonts w:ascii="Arial" w:eastAsia="Arial" w:hAnsi="Arial" w:cs="Arial"/>
                <w:sz w:val="22"/>
                <w:szCs w:val="22"/>
              </w:rPr>
            </w:pPr>
          </w:p>
          <w:p w14:paraId="72679308" w14:textId="77777777" w:rsidR="00DC1295" w:rsidRDefault="00DC1295">
            <w:pPr>
              <w:rPr>
                <w:rFonts w:ascii="Arial" w:eastAsia="Arial" w:hAnsi="Arial" w:cs="Arial"/>
                <w:sz w:val="22"/>
                <w:szCs w:val="22"/>
              </w:rPr>
            </w:pPr>
          </w:p>
          <w:p w14:paraId="0A8091B8" w14:textId="77777777" w:rsidR="00DC1295" w:rsidRDefault="00DC1295">
            <w:pPr>
              <w:rPr>
                <w:rFonts w:ascii="Arial" w:eastAsia="Arial" w:hAnsi="Arial" w:cs="Arial"/>
                <w:sz w:val="22"/>
                <w:szCs w:val="22"/>
              </w:rPr>
            </w:pPr>
          </w:p>
        </w:tc>
      </w:tr>
    </w:tbl>
    <w:p w14:paraId="4EACC4F9" w14:textId="77777777" w:rsidR="00DC1295" w:rsidRDefault="00977891">
      <w:pPr>
        <w:spacing w:before="120" w:after="120"/>
        <w:rPr>
          <w:rFonts w:ascii="Arial" w:eastAsia="Arial" w:hAnsi="Arial" w:cs="Arial"/>
          <w:b/>
        </w:rPr>
      </w:pPr>
      <w:r>
        <w:rPr>
          <w:rFonts w:ascii="Arial" w:eastAsia="Arial" w:hAnsi="Arial" w:cs="Arial"/>
          <w:b/>
        </w:rPr>
        <w:t>Authority to use the name of a living person</w:t>
      </w:r>
    </w:p>
    <w:p w14:paraId="550D7154" w14:textId="77777777" w:rsidR="00DC1295" w:rsidRDefault="00DC1295">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DC1295" w14:paraId="678C4FDB" w14:textId="77777777">
        <w:tc>
          <w:tcPr>
            <w:tcW w:w="7939" w:type="dxa"/>
            <w:shd w:val="clear" w:color="auto" w:fill="auto"/>
          </w:tcPr>
          <w:p w14:paraId="7FC185E5" w14:textId="77777777" w:rsidR="00DC1295" w:rsidRDefault="00977891">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3E3A8EFD" w14:textId="77777777" w:rsidR="00DC1295" w:rsidRDefault="00977891">
            <w:r>
              <w:t>N</w:t>
            </w:r>
          </w:p>
        </w:tc>
      </w:tr>
    </w:tbl>
    <w:p w14:paraId="0CE07D7F" w14:textId="77777777" w:rsidR="00DC1295" w:rsidRDefault="00DC1295">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DC1295" w14:paraId="37F98C1B" w14:textId="77777777">
        <w:tc>
          <w:tcPr>
            <w:tcW w:w="2692" w:type="dxa"/>
            <w:shd w:val="clear" w:color="auto" w:fill="auto"/>
          </w:tcPr>
          <w:p w14:paraId="1B3B2B0F" w14:textId="77777777" w:rsidR="00DC1295" w:rsidRDefault="00977891">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47EFA196" w14:textId="77777777" w:rsidR="00DC1295" w:rsidRDefault="00977891">
            <w:r>
              <w:rPr>
                <w:rFonts w:ascii="Arial" w:eastAsia="Arial" w:hAnsi="Arial" w:cs="Arial"/>
                <w:b/>
                <w:color w:val="000000"/>
                <w:sz w:val="22"/>
                <w:szCs w:val="22"/>
              </w:rPr>
              <w:t>Person from whom the name is derived</w:t>
            </w:r>
          </w:p>
        </w:tc>
        <w:tc>
          <w:tcPr>
            <w:tcW w:w="2977" w:type="dxa"/>
            <w:shd w:val="clear" w:color="auto" w:fill="auto"/>
          </w:tcPr>
          <w:p w14:paraId="4F16C7BD" w14:textId="77777777" w:rsidR="00DC1295" w:rsidRDefault="00977891">
            <w:r>
              <w:rPr>
                <w:rFonts w:ascii="Arial" w:eastAsia="Arial" w:hAnsi="Arial" w:cs="Arial"/>
                <w:b/>
                <w:color w:val="000000"/>
                <w:sz w:val="22"/>
                <w:szCs w:val="22"/>
              </w:rPr>
              <w:t>Permission attached (Y/N)</w:t>
            </w:r>
          </w:p>
        </w:tc>
      </w:tr>
      <w:tr w:rsidR="00DC1295" w14:paraId="00DAB8AD" w14:textId="77777777">
        <w:tc>
          <w:tcPr>
            <w:tcW w:w="2692" w:type="dxa"/>
            <w:shd w:val="clear" w:color="auto" w:fill="auto"/>
          </w:tcPr>
          <w:p w14:paraId="7B80B79B" w14:textId="77777777" w:rsidR="00DC1295" w:rsidRDefault="00DC1295">
            <w:pPr>
              <w:rPr>
                <w:rFonts w:ascii="Arial" w:eastAsia="Arial" w:hAnsi="Arial" w:cs="Arial"/>
                <w:sz w:val="22"/>
                <w:szCs w:val="22"/>
              </w:rPr>
            </w:pPr>
          </w:p>
        </w:tc>
        <w:tc>
          <w:tcPr>
            <w:tcW w:w="3403" w:type="dxa"/>
            <w:shd w:val="clear" w:color="auto" w:fill="auto"/>
          </w:tcPr>
          <w:p w14:paraId="1410A04F" w14:textId="77777777" w:rsidR="00DC1295" w:rsidRDefault="00DC1295">
            <w:pPr>
              <w:rPr>
                <w:rFonts w:ascii="Arial" w:eastAsia="Arial" w:hAnsi="Arial" w:cs="Arial"/>
                <w:sz w:val="22"/>
                <w:szCs w:val="22"/>
              </w:rPr>
            </w:pPr>
          </w:p>
        </w:tc>
        <w:tc>
          <w:tcPr>
            <w:tcW w:w="2977" w:type="dxa"/>
            <w:shd w:val="clear" w:color="auto" w:fill="auto"/>
          </w:tcPr>
          <w:p w14:paraId="5CE2B8DC" w14:textId="77777777" w:rsidR="00DC1295" w:rsidRDefault="00DC1295">
            <w:pPr>
              <w:rPr>
                <w:rFonts w:ascii="Arial" w:eastAsia="Arial" w:hAnsi="Arial" w:cs="Arial"/>
                <w:sz w:val="22"/>
                <w:szCs w:val="22"/>
              </w:rPr>
            </w:pPr>
          </w:p>
        </w:tc>
      </w:tr>
      <w:tr w:rsidR="00DC1295" w14:paraId="57C5928A" w14:textId="77777777">
        <w:tc>
          <w:tcPr>
            <w:tcW w:w="2692" w:type="dxa"/>
            <w:shd w:val="clear" w:color="auto" w:fill="auto"/>
          </w:tcPr>
          <w:p w14:paraId="61EB75C6" w14:textId="77777777" w:rsidR="00DC1295" w:rsidRDefault="00DC1295">
            <w:pPr>
              <w:rPr>
                <w:rFonts w:ascii="Arial" w:eastAsia="Arial" w:hAnsi="Arial" w:cs="Arial"/>
                <w:sz w:val="22"/>
                <w:szCs w:val="22"/>
              </w:rPr>
            </w:pPr>
          </w:p>
        </w:tc>
        <w:tc>
          <w:tcPr>
            <w:tcW w:w="3403" w:type="dxa"/>
            <w:shd w:val="clear" w:color="auto" w:fill="auto"/>
          </w:tcPr>
          <w:p w14:paraId="21121E3A" w14:textId="77777777" w:rsidR="00DC1295" w:rsidRDefault="00DC1295">
            <w:pPr>
              <w:rPr>
                <w:rFonts w:ascii="Arial" w:eastAsia="Arial" w:hAnsi="Arial" w:cs="Arial"/>
                <w:sz w:val="22"/>
                <w:szCs w:val="22"/>
              </w:rPr>
            </w:pPr>
          </w:p>
        </w:tc>
        <w:tc>
          <w:tcPr>
            <w:tcW w:w="2977" w:type="dxa"/>
            <w:shd w:val="clear" w:color="auto" w:fill="auto"/>
          </w:tcPr>
          <w:p w14:paraId="4F1E4839" w14:textId="77777777" w:rsidR="00DC1295" w:rsidRDefault="00DC1295">
            <w:pPr>
              <w:rPr>
                <w:rFonts w:ascii="Arial" w:eastAsia="Arial" w:hAnsi="Arial" w:cs="Arial"/>
                <w:sz w:val="22"/>
                <w:szCs w:val="22"/>
              </w:rPr>
            </w:pPr>
          </w:p>
        </w:tc>
      </w:tr>
      <w:tr w:rsidR="00DC1295" w14:paraId="4DEBAE84" w14:textId="77777777">
        <w:tc>
          <w:tcPr>
            <w:tcW w:w="2692" w:type="dxa"/>
            <w:shd w:val="clear" w:color="auto" w:fill="auto"/>
          </w:tcPr>
          <w:p w14:paraId="51939E2F" w14:textId="77777777" w:rsidR="00DC1295" w:rsidRDefault="00DC1295">
            <w:pPr>
              <w:rPr>
                <w:rFonts w:ascii="Arial" w:eastAsia="Arial" w:hAnsi="Arial" w:cs="Arial"/>
                <w:sz w:val="22"/>
                <w:szCs w:val="22"/>
              </w:rPr>
            </w:pPr>
          </w:p>
        </w:tc>
        <w:tc>
          <w:tcPr>
            <w:tcW w:w="3403" w:type="dxa"/>
            <w:shd w:val="clear" w:color="auto" w:fill="auto"/>
          </w:tcPr>
          <w:p w14:paraId="27285A0D" w14:textId="77777777" w:rsidR="00DC1295" w:rsidRDefault="00DC1295">
            <w:pPr>
              <w:rPr>
                <w:rFonts w:ascii="Arial" w:eastAsia="Arial" w:hAnsi="Arial" w:cs="Arial"/>
                <w:sz w:val="22"/>
                <w:szCs w:val="22"/>
              </w:rPr>
            </w:pPr>
          </w:p>
        </w:tc>
        <w:tc>
          <w:tcPr>
            <w:tcW w:w="2977" w:type="dxa"/>
            <w:shd w:val="clear" w:color="auto" w:fill="auto"/>
          </w:tcPr>
          <w:p w14:paraId="52136A8E" w14:textId="77777777" w:rsidR="00DC1295" w:rsidRDefault="00DC1295">
            <w:pPr>
              <w:rPr>
                <w:rFonts w:ascii="Arial" w:eastAsia="Arial" w:hAnsi="Arial" w:cs="Arial"/>
                <w:sz w:val="22"/>
                <w:szCs w:val="22"/>
              </w:rPr>
            </w:pPr>
          </w:p>
        </w:tc>
      </w:tr>
    </w:tbl>
    <w:p w14:paraId="6592CB21" w14:textId="77777777" w:rsidR="00DC1295" w:rsidRDefault="00DC1295"/>
    <w:p w14:paraId="4B878E46" w14:textId="77777777" w:rsidR="00DC1295" w:rsidRDefault="00977891">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DC1295" w14:paraId="28BAFB12" w14:textId="77777777">
        <w:tc>
          <w:tcPr>
            <w:tcW w:w="4820" w:type="dxa"/>
            <w:shd w:val="clear" w:color="auto" w:fill="auto"/>
          </w:tcPr>
          <w:p w14:paraId="2A69F2BD" w14:textId="77777777" w:rsidR="00DC1295" w:rsidRDefault="00977891">
            <w:pPr>
              <w:rPr>
                <w:sz w:val="22"/>
                <w:szCs w:val="22"/>
              </w:rPr>
            </w:pPr>
            <w:r>
              <w:rPr>
                <w:rFonts w:ascii="Arial" w:eastAsia="Arial" w:hAnsi="Arial" w:cs="Arial"/>
                <w:sz w:val="22"/>
                <w:szCs w:val="22"/>
              </w:rPr>
              <w:t>Date first submitted to SC Chair</w:t>
            </w:r>
          </w:p>
        </w:tc>
        <w:tc>
          <w:tcPr>
            <w:tcW w:w="4252" w:type="dxa"/>
            <w:shd w:val="clear" w:color="auto" w:fill="auto"/>
          </w:tcPr>
          <w:p w14:paraId="3D92184C" w14:textId="77777777" w:rsidR="00DC1295" w:rsidRDefault="00977891">
            <w:pPr>
              <w:rPr>
                <w:rFonts w:ascii="Arial" w:eastAsia="Arial" w:hAnsi="Arial" w:cs="Arial"/>
                <w:sz w:val="22"/>
                <w:szCs w:val="22"/>
              </w:rPr>
            </w:pPr>
            <w:r>
              <w:rPr>
                <w:rFonts w:ascii="Arial" w:eastAsia="Arial" w:hAnsi="Arial" w:cs="Arial"/>
                <w:sz w:val="22"/>
                <w:szCs w:val="22"/>
              </w:rPr>
              <w:t>May 2021</w:t>
            </w:r>
          </w:p>
        </w:tc>
      </w:tr>
      <w:tr w:rsidR="00DC1295" w14:paraId="5ABA5E0D" w14:textId="77777777">
        <w:tc>
          <w:tcPr>
            <w:tcW w:w="4820" w:type="dxa"/>
            <w:shd w:val="clear" w:color="auto" w:fill="auto"/>
          </w:tcPr>
          <w:p w14:paraId="283EA4C0" w14:textId="77777777" w:rsidR="00DC1295" w:rsidRDefault="00977891">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64330F8" w14:textId="77777777" w:rsidR="00DC1295" w:rsidRDefault="00DC1295">
            <w:pPr>
              <w:rPr>
                <w:rFonts w:ascii="Arial" w:eastAsia="Arial" w:hAnsi="Arial" w:cs="Arial"/>
                <w:sz w:val="22"/>
                <w:szCs w:val="22"/>
              </w:rPr>
            </w:pPr>
          </w:p>
        </w:tc>
      </w:tr>
    </w:tbl>
    <w:p w14:paraId="3AB70F43" w14:textId="77777777" w:rsidR="00DC1295" w:rsidRDefault="00977891">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C1295" w14:paraId="2FEA7C96" w14:textId="77777777">
        <w:tc>
          <w:tcPr>
            <w:tcW w:w="9072" w:type="dxa"/>
            <w:shd w:val="clear" w:color="auto" w:fill="auto"/>
          </w:tcPr>
          <w:p w14:paraId="1BD13E74" w14:textId="77777777" w:rsidR="00DC1295" w:rsidRDefault="00DC1295">
            <w:pPr>
              <w:rPr>
                <w:rFonts w:ascii="Arial" w:eastAsia="Arial" w:hAnsi="Arial" w:cs="Arial"/>
                <w:sz w:val="22"/>
                <w:szCs w:val="22"/>
              </w:rPr>
            </w:pPr>
          </w:p>
          <w:p w14:paraId="4555BC0F" w14:textId="6AF84850" w:rsidR="00DC1295" w:rsidRDefault="00977891">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135459">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51C7613" w14:textId="77777777" w:rsidR="00DC1295" w:rsidRDefault="00DC1295">
            <w:pPr>
              <w:rPr>
                <w:rFonts w:ascii="Arial" w:eastAsia="Arial" w:hAnsi="Arial" w:cs="Arial"/>
                <w:sz w:val="22"/>
                <w:szCs w:val="22"/>
              </w:rPr>
            </w:pPr>
          </w:p>
        </w:tc>
      </w:tr>
    </w:tbl>
    <w:p w14:paraId="51BA5D7C" w14:textId="77777777" w:rsidR="00DC1295" w:rsidRDefault="00DC1295">
      <w:pPr>
        <w:pBdr>
          <w:top w:val="nil"/>
          <w:left w:val="nil"/>
          <w:bottom w:val="nil"/>
          <w:right w:val="nil"/>
          <w:between w:val="nil"/>
        </w:pBdr>
        <w:spacing w:before="120" w:after="120"/>
        <w:rPr>
          <w:rFonts w:ascii="Arial" w:eastAsia="Arial" w:hAnsi="Arial" w:cs="Arial"/>
          <w:b/>
          <w:color w:val="000000"/>
        </w:rPr>
      </w:pPr>
    </w:p>
    <w:p w14:paraId="75A13376" w14:textId="77777777" w:rsidR="00DC1295" w:rsidRDefault="00DC1295"/>
    <w:p w14:paraId="444038C4" w14:textId="77777777" w:rsidR="00DC1295" w:rsidRDefault="00977891">
      <w:r>
        <w:br w:type="page"/>
      </w:r>
    </w:p>
    <w:p w14:paraId="6ECE9DA1" w14:textId="77777777" w:rsidR="00DC1295" w:rsidRDefault="0097789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07820EF2" w14:textId="77777777" w:rsidR="00DC1295" w:rsidRDefault="00977891">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C1295" w14:paraId="1BB20AA0" w14:textId="77777777">
        <w:tc>
          <w:tcPr>
            <w:tcW w:w="9072" w:type="dxa"/>
            <w:shd w:val="clear" w:color="auto" w:fill="auto"/>
          </w:tcPr>
          <w:p w14:paraId="23840B4B" w14:textId="2499C646" w:rsidR="00DC1295" w:rsidRDefault="00977891">
            <w:pPr>
              <w:spacing w:before="120" w:after="120"/>
              <w:rPr>
                <w:rFonts w:ascii="Arial" w:eastAsia="Arial" w:hAnsi="Arial" w:cs="Arial"/>
                <w:sz w:val="22"/>
                <w:szCs w:val="22"/>
              </w:rPr>
            </w:pPr>
            <w:r>
              <w:rPr>
                <w:rFonts w:ascii="Arial" w:eastAsia="Arial" w:hAnsi="Arial" w:cs="Arial"/>
                <w:sz w:val="22"/>
                <w:szCs w:val="22"/>
              </w:rPr>
              <w:t>2021.072B.</w:t>
            </w:r>
            <w:r w:rsidR="00174E4A">
              <w:rPr>
                <w:rFonts w:ascii="Arial" w:eastAsia="Arial" w:hAnsi="Arial" w:cs="Arial"/>
                <w:sz w:val="22"/>
                <w:szCs w:val="22"/>
              </w:rPr>
              <w:t>R</w:t>
            </w:r>
            <w:r>
              <w:rPr>
                <w:rFonts w:ascii="Arial" w:eastAsia="Arial" w:hAnsi="Arial" w:cs="Arial"/>
                <w:sz w:val="22"/>
                <w:szCs w:val="22"/>
              </w:rPr>
              <w:t>.Rosenblumvirus</w:t>
            </w:r>
          </w:p>
        </w:tc>
      </w:tr>
    </w:tbl>
    <w:p w14:paraId="184E4F74" w14:textId="77777777" w:rsidR="00DC1295" w:rsidRDefault="00977891">
      <w:pPr>
        <w:spacing w:before="120" w:after="120"/>
        <w:rPr>
          <w:rFonts w:ascii="Arial" w:eastAsia="Arial" w:hAnsi="Arial" w:cs="Arial"/>
          <w:color w:val="0000FF"/>
          <w:sz w:val="20"/>
          <w:szCs w:val="20"/>
        </w:rPr>
      </w:pPr>
      <w:r>
        <w:rPr>
          <w:rFonts w:ascii="Arial" w:eastAsia="Arial" w:hAnsi="Arial" w:cs="Arial"/>
          <w:b/>
        </w:rPr>
        <w:t>Abstract</w:t>
      </w:r>
    </w:p>
    <w:p w14:paraId="0F4AD8E1" w14:textId="77777777" w:rsidR="00DC1295" w:rsidRDefault="00DC1295">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DC1295" w14:paraId="1D4892B0" w14:textId="77777777">
        <w:tc>
          <w:tcPr>
            <w:tcW w:w="9072" w:type="dxa"/>
            <w:shd w:val="clear" w:color="auto" w:fill="auto"/>
          </w:tcPr>
          <w:p w14:paraId="456EEB02" w14:textId="77777777" w:rsidR="00DC1295" w:rsidRDefault="00977891">
            <w:pPr>
              <w:rPr>
                <w:rFonts w:ascii="Arial" w:eastAsia="Arial" w:hAnsi="Arial" w:cs="Arial"/>
                <w:sz w:val="22"/>
                <w:szCs w:val="22"/>
              </w:rPr>
            </w:pPr>
            <w:r>
              <w:rPr>
                <w:rFonts w:ascii="Arial" w:eastAsia="Arial" w:hAnsi="Arial" w:cs="Arial"/>
                <w:sz w:val="22"/>
                <w:szCs w:val="22"/>
              </w:rPr>
              <w:t xml:space="preserve">In a complete review of the </w:t>
            </w:r>
            <w:r>
              <w:rPr>
                <w:rFonts w:ascii="Arial" w:eastAsia="Arial" w:hAnsi="Arial" w:cs="Arial"/>
                <w:i/>
                <w:sz w:val="22"/>
                <w:szCs w:val="22"/>
              </w:rPr>
              <w:t>Staphylococcal</w:t>
            </w:r>
            <w:r>
              <w:rPr>
                <w:rFonts w:ascii="Arial" w:eastAsia="Arial" w:hAnsi="Arial" w:cs="Arial"/>
                <w:sz w:val="22"/>
                <w:szCs w:val="22"/>
              </w:rPr>
              <w:t xml:space="preserve"> phages belonging to the family </w:t>
            </w:r>
            <w:r>
              <w:rPr>
                <w:rFonts w:ascii="Arial" w:eastAsia="Arial" w:hAnsi="Arial" w:cs="Arial"/>
                <w:i/>
                <w:sz w:val="22"/>
                <w:szCs w:val="22"/>
              </w:rPr>
              <w:t>Rountreeviridae</w:t>
            </w:r>
            <w:r>
              <w:rPr>
                <w:rFonts w:ascii="Arial" w:eastAsia="Arial" w:hAnsi="Arial" w:cs="Arial"/>
                <w:sz w:val="22"/>
                <w:szCs w:val="22"/>
              </w:rPr>
              <w:t xml:space="preserve"> using VIRIDIC and ViPTree we have discovered 4 more species in the genus </w:t>
            </w:r>
            <w:r>
              <w:rPr>
                <w:rFonts w:ascii="Arial" w:eastAsia="Arial" w:hAnsi="Arial" w:cs="Arial"/>
                <w:i/>
                <w:sz w:val="22"/>
                <w:szCs w:val="22"/>
              </w:rPr>
              <w:t>Rosenblumvirus</w:t>
            </w:r>
            <w:r>
              <w:rPr>
                <w:rFonts w:ascii="Arial" w:eastAsia="Arial" w:hAnsi="Arial" w:cs="Arial"/>
                <w:sz w:val="22"/>
                <w:szCs w:val="22"/>
              </w:rPr>
              <w:t>.</w:t>
            </w:r>
            <w:r>
              <w:rPr>
                <w:rFonts w:ascii="Arial" w:eastAsia="Arial" w:hAnsi="Arial" w:cs="Arial"/>
                <w:b/>
                <w:sz w:val="22"/>
                <w:szCs w:val="22"/>
              </w:rPr>
              <w:t xml:space="preserve"> </w:t>
            </w:r>
            <w:r>
              <w:rPr>
                <w:rFonts w:ascii="Arial" w:eastAsia="Arial" w:hAnsi="Arial" w:cs="Arial"/>
                <w:sz w:val="22"/>
                <w:szCs w:val="22"/>
              </w:rPr>
              <w:t xml:space="preserve">These phages share almost all properties with other phages of this genus, but differ significantly enough (less than 95% identity with phages of other </w:t>
            </w:r>
            <w:r>
              <w:rPr>
                <w:rFonts w:ascii="Arial" w:eastAsia="Arial" w:hAnsi="Arial" w:cs="Arial"/>
                <w:i/>
                <w:sz w:val="22"/>
                <w:szCs w:val="22"/>
              </w:rPr>
              <w:t>Rosenblumvirus</w:t>
            </w:r>
            <w:r>
              <w:rPr>
                <w:rFonts w:ascii="Arial" w:eastAsia="Arial" w:hAnsi="Arial" w:cs="Arial"/>
                <w:sz w:val="22"/>
                <w:szCs w:val="22"/>
              </w:rPr>
              <w:t xml:space="preserve"> species) to classify them as separate species of this genus.</w:t>
            </w:r>
          </w:p>
          <w:p w14:paraId="4B3A7934" w14:textId="77777777" w:rsidR="00DC1295" w:rsidRDefault="00DC1295">
            <w:pPr>
              <w:rPr>
                <w:rFonts w:ascii="Arial" w:eastAsia="Arial" w:hAnsi="Arial" w:cs="Arial"/>
                <w:b/>
                <w:sz w:val="22"/>
                <w:szCs w:val="22"/>
              </w:rPr>
            </w:pPr>
          </w:p>
        </w:tc>
      </w:tr>
    </w:tbl>
    <w:p w14:paraId="043038C4" w14:textId="77777777" w:rsidR="00DC1295" w:rsidRDefault="00977891">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DC1295" w14:paraId="6913FFF9" w14:textId="77777777">
        <w:trPr>
          <w:trHeight w:val="1566"/>
        </w:trPr>
        <w:tc>
          <w:tcPr>
            <w:tcW w:w="9228" w:type="dxa"/>
            <w:shd w:val="clear" w:color="auto" w:fill="auto"/>
          </w:tcPr>
          <w:p w14:paraId="48FE6DFA" w14:textId="77777777" w:rsidR="00DC1295" w:rsidRDefault="00DC1295">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DC1295" w14:paraId="2D0509EC" w14:textId="77777777">
              <w:tc>
                <w:tcPr>
                  <w:tcW w:w="9002" w:type="dxa"/>
                  <w:shd w:val="clear" w:color="auto" w:fill="auto"/>
                </w:tcPr>
                <w:p w14:paraId="63CDE131" w14:textId="77777777" w:rsidR="00DC1295" w:rsidRDefault="00977891">
                  <w:pPr>
                    <w:rPr>
                      <w:rFonts w:ascii="Arial" w:eastAsia="Arial" w:hAnsi="Arial" w:cs="Arial"/>
                      <w:color w:val="0000FF"/>
                      <w:sz w:val="22"/>
                      <w:szCs w:val="22"/>
                    </w:rPr>
                  </w:pPr>
                  <w:r>
                    <w:rPr>
                      <w:rFonts w:ascii="Arial" w:eastAsia="Arial" w:hAnsi="Arial" w:cs="Arial"/>
                      <w:b/>
                      <w:color w:val="0000FF"/>
                      <w:sz w:val="20"/>
                      <w:szCs w:val="20"/>
                    </w:rPr>
                    <w:t>Species demarcation criteria:</w:t>
                  </w:r>
                  <w:r>
                    <w:t xml:space="preserve"> </w:t>
                  </w:r>
                  <w:r>
                    <w:rPr>
                      <w:rFonts w:ascii="Arial" w:eastAsia="Arial" w:hAnsi="Arial" w:cs="Arial"/>
                      <w:sz w:val="20"/>
                      <w:szCs w:val="20"/>
                    </w:rPr>
                    <w:t>We have chosen 95% DNA sequence identity as the criterion for demarcation of species in this new genus. Each of the proposed species differs from the others with more than 5% at the DNA level as confirmed with the BLASTN and Viridic algorithm</w:t>
                  </w:r>
                </w:p>
                <w:p w14:paraId="6C44F8AE" w14:textId="77777777" w:rsidR="00DC1295" w:rsidRDefault="00DC1295">
                  <w:pPr>
                    <w:rPr>
                      <w:rFonts w:ascii="Arial" w:eastAsia="Arial" w:hAnsi="Arial" w:cs="Arial"/>
                      <w:color w:val="0000FF"/>
                      <w:sz w:val="22"/>
                      <w:szCs w:val="22"/>
                    </w:rPr>
                  </w:pPr>
                </w:p>
              </w:tc>
            </w:tr>
          </w:tbl>
          <w:p w14:paraId="355A6CFD" w14:textId="77777777" w:rsidR="00DC1295" w:rsidRDefault="00DC1295">
            <w:pPr>
              <w:rPr>
                <w:rFonts w:ascii="Arial" w:eastAsia="Arial" w:hAnsi="Arial" w:cs="Arial"/>
                <w:color w:val="0000FF"/>
                <w:sz w:val="20"/>
                <w:szCs w:val="20"/>
              </w:rPr>
            </w:pPr>
          </w:p>
        </w:tc>
      </w:tr>
    </w:tbl>
    <w:p w14:paraId="3F4FDA09" w14:textId="77777777" w:rsidR="00DC1295" w:rsidRDefault="00977891">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756C584B" w14:textId="77777777" w:rsidR="00DC1295" w:rsidRDefault="00DC1295"/>
    <w:p w14:paraId="58842AF5" w14:textId="77777777" w:rsidR="00DC1295" w:rsidRDefault="00977891">
      <w:bookmarkStart w:id="0" w:name="_heading=h.gjdgxs" w:colFirst="0" w:colLast="0"/>
      <w:bookmarkEnd w:id="0"/>
      <w:r>
        <w:rPr>
          <w:rFonts w:ascii="Arial" w:eastAsia="Arial" w:hAnsi="Arial" w:cs="Arial"/>
          <w:b/>
          <w:color w:val="0000FF"/>
          <w:sz w:val="20"/>
          <w:szCs w:val="20"/>
        </w:rPr>
        <w:t xml:space="preserve">History:  </w:t>
      </w:r>
      <w:r>
        <w:rPr>
          <w:rFonts w:ascii="Arial" w:eastAsia="Arial" w:hAnsi="Arial" w:cs="Arial"/>
          <w:sz w:val="20"/>
          <w:szCs w:val="20"/>
        </w:rPr>
        <w:t xml:space="preserve">This family was established via Taxonomy Proposal </w:t>
      </w:r>
      <w:r>
        <w:rPr>
          <w:rFonts w:ascii="Verdana" w:eastAsia="Verdana" w:hAnsi="Verdana" w:cs="Verdana"/>
          <w:color w:val="000000"/>
          <w:sz w:val="18"/>
          <w:szCs w:val="18"/>
        </w:rPr>
        <w:t>2020.140B.R.Rountreeviridae</w:t>
      </w:r>
    </w:p>
    <w:p w14:paraId="6170E0A1" w14:textId="77777777" w:rsidR="00DC1295" w:rsidRDefault="00DC1295">
      <w:pPr>
        <w:rPr>
          <w:rFonts w:ascii="Arial" w:eastAsia="Arial" w:hAnsi="Arial" w:cs="Arial"/>
          <w:sz w:val="20"/>
          <w:szCs w:val="20"/>
        </w:rPr>
      </w:pPr>
    </w:p>
    <w:p w14:paraId="42666258" w14:textId="77777777" w:rsidR="00DC1295" w:rsidRDefault="00977891">
      <w:r>
        <w:rPr>
          <w:rFonts w:ascii="Arial" w:eastAsia="Arial" w:hAnsi="Arial" w:cs="Arial"/>
          <w:b/>
          <w:color w:val="0000FF"/>
          <w:sz w:val="20"/>
          <w:szCs w:val="20"/>
        </w:rPr>
        <w:t xml:space="preserve">Specific References: </w:t>
      </w:r>
      <w:r>
        <w:rPr>
          <w:rFonts w:ascii="Arial" w:eastAsia="Arial" w:hAnsi="Arial" w:cs="Arial"/>
          <w:sz w:val="20"/>
          <w:szCs w:val="20"/>
        </w:rPr>
        <w:t xml:space="preserve"> Bonasera RM, Korn A, New</w:t>
      </w:r>
      <w:r>
        <w:rPr>
          <w:rFonts w:ascii="Liberation Sans" w:eastAsia="Liberation Sans" w:hAnsi="Liberation Sans" w:cs="Liberation Sans"/>
          <w:sz w:val="20"/>
          <w:szCs w:val="20"/>
        </w:rPr>
        <w:t xml:space="preserve">kirk H, et al. Coding-Complete Genome Sequence of </w:t>
      </w:r>
      <w:r>
        <w:rPr>
          <w:rFonts w:ascii="Liberation Sans" w:eastAsia="Liberation Sans" w:hAnsi="Liberation Sans" w:cs="Liberation Sans"/>
          <w:i/>
          <w:sz w:val="20"/>
          <w:szCs w:val="20"/>
        </w:rPr>
        <w:t>Staphylococcus aureus</w:t>
      </w:r>
      <w:r>
        <w:rPr>
          <w:rFonts w:ascii="Liberation Sans" w:eastAsia="Liberation Sans" w:hAnsi="Liberation Sans" w:cs="Liberation Sans"/>
          <w:sz w:val="20"/>
          <w:szCs w:val="20"/>
        </w:rPr>
        <w:t xml:space="preserve"> Podophage Portland. Microbiol Resour Announc 8 (47), e01337-19 (2019) [Portland]</w:t>
      </w:r>
    </w:p>
    <w:p w14:paraId="6CD7AC59" w14:textId="77777777" w:rsidR="00DC1295" w:rsidRDefault="00DC1295">
      <w:pPr>
        <w:rPr>
          <w:rFonts w:ascii="Arial" w:eastAsia="Arial" w:hAnsi="Arial" w:cs="Arial"/>
          <w:sz w:val="20"/>
          <w:szCs w:val="20"/>
        </w:rPr>
      </w:pPr>
    </w:p>
    <w:p w14:paraId="28FBBF21" w14:textId="77777777" w:rsidR="00DC1295" w:rsidRDefault="00DC1295">
      <w:pPr>
        <w:rPr>
          <w:rFonts w:ascii="Arial" w:eastAsia="Arial" w:hAnsi="Arial" w:cs="Arial"/>
          <w:sz w:val="20"/>
          <w:szCs w:val="20"/>
        </w:rPr>
      </w:pPr>
    </w:p>
    <w:p w14:paraId="5CE024EF" w14:textId="77777777" w:rsidR="00DC1295" w:rsidRDefault="00977891">
      <w:r>
        <w:rPr>
          <w:rFonts w:ascii="Arial" w:eastAsia="Arial" w:hAnsi="Arial" w:cs="Arial"/>
          <w:b/>
          <w:color w:val="0000FF"/>
          <w:sz w:val="20"/>
          <w:szCs w:val="20"/>
        </w:rPr>
        <w:t>GenBank Summary:</w:t>
      </w:r>
    </w:p>
    <w:p w14:paraId="1DF5DDC3" w14:textId="77777777" w:rsidR="00DC1295" w:rsidRDefault="00DC1295">
      <w:pPr>
        <w:rPr>
          <w:rFonts w:ascii="Arial" w:eastAsia="Arial" w:hAnsi="Arial" w:cs="Arial"/>
          <w:b/>
          <w:color w:val="0000FF"/>
          <w:sz w:val="20"/>
          <w:szCs w:val="20"/>
        </w:rPr>
      </w:pPr>
    </w:p>
    <w:tbl>
      <w:tblPr>
        <w:tblStyle w:val="ad"/>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1"/>
        <w:gridCol w:w="884"/>
        <w:gridCol w:w="1406"/>
        <w:gridCol w:w="717"/>
        <w:gridCol w:w="694"/>
        <w:gridCol w:w="928"/>
        <w:gridCol w:w="950"/>
        <w:gridCol w:w="1084"/>
        <w:gridCol w:w="1306"/>
      </w:tblGrid>
      <w:tr w:rsidR="00DC1295" w14:paraId="31972630" w14:textId="77777777">
        <w:tc>
          <w:tcPr>
            <w:tcW w:w="1041" w:type="dxa"/>
            <w:shd w:val="clear" w:color="auto" w:fill="auto"/>
          </w:tcPr>
          <w:p w14:paraId="7C493BC2" w14:textId="77777777" w:rsidR="00DC1295" w:rsidRDefault="00977891">
            <w:r>
              <w:rPr>
                <w:rFonts w:ascii="Arial" w:eastAsia="Arial" w:hAnsi="Arial" w:cs="Arial"/>
                <w:sz w:val="20"/>
                <w:szCs w:val="20"/>
              </w:rPr>
              <w:t>Phage name</w:t>
            </w:r>
          </w:p>
        </w:tc>
        <w:tc>
          <w:tcPr>
            <w:tcW w:w="884" w:type="dxa"/>
            <w:shd w:val="clear" w:color="auto" w:fill="auto"/>
          </w:tcPr>
          <w:p w14:paraId="20866AFA" w14:textId="77777777" w:rsidR="00DC1295" w:rsidRDefault="00977891">
            <w:r>
              <w:rPr>
                <w:rFonts w:ascii="Arial" w:eastAsia="Arial" w:hAnsi="Arial" w:cs="Arial"/>
                <w:sz w:val="20"/>
                <w:szCs w:val="20"/>
              </w:rPr>
              <w:t>RefSeq No.</w:t>
            </w:r>
          </w:p>
        </w:tc>
        <w:tc>
          <w:tcPr>
            <w:tcW w:w="1406" w:type="dxa"/>
            <w:shd w:val="clear" w:color="auto" w:fill="auto"/>
          </w:tcPr>
          <w:p w14:paraId="5FC2C911" w14:textId="77777777" w:rsidR="00DC1295" w:rsidRDefault="00977891">
            <w:r>
              <w:rPr>
                <w:rFonts w:ascii="Arial" w:eastAsia="Arial" w:hAnsi="Arial" w:cs="Arial"/>
                <w:sz w:val="20"/>
                <w:szCs w:val="20"/>
              </w:rPr>
              <w:t xml:space="preserve">INSDC </w:t>
            </w:r>
          </w:p>
        </w:tc>
        <w:tc>
          <w:tcPr>
            <w:tcW w:w="717" w:type="dxa"/>
            <w:shd w:val="clear" w:color="auto" w:fill="auto"/>
          </w:tcPr>
          <w:p w14:paraId="4EA87F9F" w14:textId="77777777" w:rsidR="00DC1295" w:rsidRDefault="00977891">
            <w:r>
              <w:rPr>
                <w:rFonts w:ascii="Arial" w:eastAsia="Arial" w:hAnsi="Arial" w:cs="Arial"/>
                <w:sz w:val="20"/>
                <w:szCs w:val="20"/>
              </w:rPr>
              <w:t>Size (Kb)</w:t>
            </w:r>
          </w:p>
        </w:tc>
        <w:tc>
          <w:tcPr>
            <w:tcW w:w="694" w:type="dxa"/>
            <w:shd w:val="clear" w:color="auto" w:fill="auto"/>
          </w:tcPr>
          <w:p w14:paraId="3134C690" w14:textId="77777777" w:rsidR="00DC1295" w:rsidRDefault="00977891">
            <w:r>
              <w:rPr>
                <w:rFonts w:ascii="Arial" w:eastAsia="Arial" w:hAnsi="Arial" w:cs="Arial"/>
                <w:sz w:val="20"/>
                <w:szCs w:val="20"/>
              </w:rPr>
              <w:t xml:space="preserve">GC% </w:t>
            </w:r>
          </w:p>
        </w:tc>
        <w:tc>
          <w:tcPr>
            <w:tcW w:w="928" w:type="dxa"/>
            <w:shd w:val="clear" w:color="auto" w:fill="auto"/>
          </w:tcPr>
          <w:p w14:paraId="50B246F2" w14:textId="77777777" w:rsidR="00DC1295" w:rsidRDefault="00977891">
            <w:r>
              <w:rPr>
                <w:rFonts w:ascii="Arial" w:eastAsia="Arial" w:hAnsi="Arial" w:cs="Arial"/>
                <w:sz w:val="20"/>
                <w:szCs w:val="20"/>
              </w:rPr>
              <w:t xml:space="preserve">Protein* </w:t>
            </w:r>
          </w:p>
        </w:tc>
        <w:tc>
          <w:tcPr>
            <w:tcW w:w="950" w:type="dxa"/>
            <w:shd w:val="clear" w:color="auto" w:fill="auto"/>
          </w:tcPr>
          <w:p w14:paraId="62589A70" w14:textId="77777777" w:rsidR="00DC1295" w:rsidRDefault="00977891">
            <w:r>
              <w:rPr>
                <w:rFonts w:ascii="Arial" w:eastAsia="Arial" w:hAnsi="Arial" w:cs="Arial"/>
                <w:sz w:val="20"/>
                <w:szCs w:val="20"/>
              </w:rPr>
              <w:t>tRNAs**</w:t>
            </w:r>
          </w:p>
        </w:tc>
        <w:tc>
          <w:tcPr>
            <w:tcW w:w="1084" w:type="dxa"/>
            <w:shd w:val="clear" w:color="auto" w:fill="auto"/>
          </w:tcPr>
          <w:p w14:paraId="7C29A36F" w14:textId="77777777" w:rsidR="00DC1295" w:rsidRDefault="00977891">
            <w:r>
              <w:rPr>
                <w:rFonts w:ascii="Arial" w:eastAsia="Arial" w:hAnsi="Arial" w:cs="Arial"/>
                <w:sz w:val="20"/>
                <w:szCs w:val="20"/>
              </w:rPr>
              <w:t>Overall % DNA sequence identity (***)</w:t>
            </w:r>
          </w:p>
        </w:tc>
        <w:tc>
          <w:tcPr>
            <w:tcW w:w="1306" w:type="dxa"/>
            <w:shd w:val="clear" w:color="auto" w:fill="auto"/>
          </w:tcPr>
          <w:p w14:paraId="646FD6FA" w14:textId="77777777" w:rsidR="00DC1295" w:rsidRDefault="00977891">
            <w:r>
              <w:rPr>
                <w:rFonts w:ascii="Arial" w:eastAsia="Arial" w:hAnsi="Arial" w:cs="Arial"/>
                <w:sz w:val="20"/>
                <w:szCs w:val="20"/>
              </w:rPr>
              <w:t>Overall % homologous proteins  (****)</w:t>
            </w:r>
          </w:p>
        </w:tc>
      </w:tr>
      <w:tr w:rsidR="00DC1295" w14:paraId="3093710A" w14:textId="77777777">
        <w:tc>
          <w:tcPr>
            <w:tcW w:w="1041" w:type="dxa"/>
            <w:shd w:val="clear" w:color="auto" w:fill="auto"/>
          </w:tcPr>
          <w:p w14:paraId="0EA0D276" w14:textId="77777777" w:rsidR="00DC1295" w:rsidRDefault="00977891">
            <w:bookmarkStart w:id="1" w:name="_heading=h.30j0zll" w:colFirst="0" w:colLast="0"/>
            <w:bookmarkEnd w:id="1"/>
            <w:r>
              <w:rPr>
                <w:rFonts w:ascii="Arial" w:eastAsia="Arial" w:hAnsi="Arial" w:cs="Arial"/>
                <w:sz w:val="20"/>
                <w:szCs w:val="20"/>
              </w:rPr>
              <w:t>SA46-CL1</w:t>
            </w:r>
          </w:p>
        </w:tc>
        <w:tc>
          <w:tcPr>
            <w:tcW w:w="884" w:type="dxa"/>
            <w:shd w:val="clear" w:color="auto" w:fill="auto"/>
            <w:vAlign w:val="center"/>
          </w:tcPr>
          <w:p w14:paraId="4AB6B63C" w14:textId="77777777" w:rsidR="00DC1295" w:rsidRDefault="00DC1295">
            <w:pPr>
              <w:rPr>
                <w:rFonts w:ascii="Arial" w:eastAsia="Arial" w:hAnsi="Arial" w:cs="Arial"/>
                <w:sz w:val="20"/>
                <w:szCs w:val="20"/>
              </w:rPr>
            </w:pPr>
          </w:p>
        </w:tc>
        <w:tc>
          <w:tcPr>
            <w:tcW w:w="1406" w:type="dxa"/>
            <w:shd w:val="clear" w:color="auto" w:fill="auto"/>
            <w:vAlign w:val="center"/>
          </w:tcPr>
          <w:p w14:paraId="5E79EC91" w14:textId="77777777" w:rsidR="00DC1295" w:rsidRDefault="00977891">
            <w:r>
              <w:rPr>
                <w:rFonts w:ascii="Arial" w:eastAsia="Arial" w:hAnsi="Arial" w:cs="Arial"/>
                <w:color w:val="0000FF"/>
                <w:sz w:val="20"/>
                <w:szCs w:val="20"/>
              </w:rPr>
              <w:t>MK936476.1</w:t>
            </w:r>
          </w:p>
        </w:tc>
        <w:tc>
          <w:tcPr>
            <w:tcW w:w="717" w:type="dxa"/>
            <w:shd w:val="clear" w:color="auto" w:fill="auto"/>
            <w:vAlign w:val="center"/>
          </w:tcPr>
          <w:p w14:paraId="06756F8A" w14:textId="77777777" w:rsidR="00DC1295" w:rsidRDefault="00977891">
            <w:r>
              <w:rPr>
                <w:rFonts w:ascii="Arial" w:eastAsia="Arial" w:hAnsi="Arial" w:cs="Arial"/>
                <w:sz w:val="20"/>
                <w:szCs w:val="20"/>
              </w:rPr>
              <w:t>17.51</w:t>
            </w:r>
          </w:p>
        </w:tc>
        <w:tc>
          <w:tcPr>
            <w:tcW w:w="694" w:type="dxa"/>
            <w:shd w:val="clear" w:color="auto" w:fill="auto"/>
            <w:vAlign w:val="center"/>
          </w:tcPr>
          <w:p w14:paraId="6244B415" w14:textId="77777777" w:rsidR="00DC1295" w:rsidRDefault="00977891">
            <w:r>
              <w:rPr>
                <w:rFonts w:ascii="Arial" w:eastAsia="Arial" w:hAnsi="Arial" w:cs="Arial"/>
                <w:sz w:val="20"/>
                <w:szCs w:val="20"/>
              </w:rPr>
              <w:t>28.8</w:t>
            </w:r>
          </w:p>
        </w:tc>
        <w:tc>
          <w:tcPr>
            <w:tcW w:w="928" w:type="dxa"/>
            <w:shd w:val="clear" w:color="auto" w:fill="auto"/>
            <w:vAlign w:val="center"/>
          </w:tcPr>
          <w:p w14:paraId="00BD7741" w14:textId="77777777" w:rsidR="00DC1295" w:rsidRDefault="00977891">
            <w:r>
              <w:rPr>
                <w:rFonts w:ascii="Arial" w:eastAsia="Arial" w:hAnsi="Arial" w:cs="Arial"/>
                <w:color w:val="0000FF"/>
                <w:sz w:val="20"/>
                <w:szCs w:val="20"/>
                <w:u w:val="single"/>
              </w:rPr>
              <w:t>21*</w:t>
            </w:r>
          </w:p>
        </w:tc>
        <w:tc>
          <w:tcPr>
            <w:tcW w:w="950" w:type="dxa"/>
            <w:shd w:val="clear" w:color="auto" w:fill="auto"/>
            <w:vAlign w:val="center"/>
          </w:tcPr>
          <w:p w14:paraId="7F94A21F" w14:textId="77777777" w:rsidR="00DC1295" w:rsidRDefault="00977891">
            <w:r>
              <w:rPr>
                <w:rFonts w:ascii="Arial" w:eastAsia="Arial" w:hAnsi="Arial" w:cs="Arial"/>
                <w:sz w:val="20"/>
                <w:szCs w:val="20"/>
              </w:rPr>
              <w:t>0</w:t>
            </w:r>
          </w:p>
        </w:tc>
        <w:tc>
          <w:tcPr>
            <w:tcW w:w="1084" w:type="dxa"/>
            <w:shd w:val="clear" w:color="auto" w:fill="auto"/>
          </w:tcPr>
          <w:p w14:paraId="041C713C" w14:textId="77777777" w:rsidR="00DC1295" w:rsidRDefault="00977891">
            <w:r>
              <w:rPr>
                <w:rFonts w:ascii="Arial" w:eastAsia="Arial" w:hAnsi="Arial" w:cs="Arial"/>
                <w:sz w:val="20"/>
                <w:szCs w:val="20"/>
              </w:rPr>
              <w:t>100</w:t>
            </w:r>
          </w:p>
        </w:tc>
        <w:tc>
          <w:tcPr>
            <w:tcW w:w="1306" w:type="dxa"/>
            <w:shd w:val="clear" w:color="auto" w:fill="auto"/>
          </w:tcPr>
          <w:p w14:paraId="5230AE16" w14:textId="77777777" w:rsidR="00DC1295" w:rsidRDefault="00977891">
            <w:r>
              <w:rPr>
                <w:rFonts w:ascii="Arial" w:eastAsia="Arial" w:hAnsi="Arial" w:cs="Arial"/>
                <w:sz w:val="20"/>
                <w:szCs w:val="20"/>
              </w:rPr>
              <w:t>100</w:t>
            </w:r>
          </w:p>
        </w:tc>
      </w:tr>
      <w:tr w:rsidR="00DC1295" w14:paraId="487A8903" w14:textId="77777777">
        <w:tc>
          <w:tcPr>
            <w:tcW w:w="1041" w:type="dxa"/>
            <w:tcBorders>
              <w:top w:val="nil"/>
            </w:tcBorders>
            <w:shd w:val="clear" w:color="auto" w:fill="auto"/>
          </w:tcPr>
          <w:p w14:paraId="23644774" w14:textId="77777777" w:rsidR="00DC1295" w:rsidRDefault="00977891">
            <w:r>
              <w:rPr>
                <w:rFonts w:ascii="Arial" w:eastAsia="Arial" w:hAnsi="Arial" w:cs="Arial"/>
                <w:sz w:val="20"/>
                <w:szCs w:val="20"/>
              </w:rPr>
              <w:t>Portland</w:t>
            </w:r>
          </w:p>
        </w:tc>
        <w:tc>
          <w:tcPr>
            <w:tcW w:w="884" w:type="dxa"/>
            <w:tcBorders>
              <w:top w:val="nil"/>
            </w:tcBorders>
            <w:shd w:val="clear" w:color="auto" w:fill="auto"/>
            <w:vAlign w:val="center"/>
          </w:tcPr>
          <w:p w14:paraId="5915F72B" w14:textId="77777777" w:rsidR="00DC1295" w:rsidRDefault="00DC1295">
            <w:pPr>
              <w:rPr>
                <w:rFonts w:ascii="Arial" w:eastAsia="Arial" w:hAnsi="Arial" w:cs="Arial"/>
                <w:sz w:val="20"/>
                <w:szCs w:val="20"/>
              </w:rPr>
            </w:pPr>
          </w:p>
        </w:tc>
        <w:tc>
          <w:tcPr>
            <w:tcW w:w="1406" w:type="dxa"/>
            <w:tcBorders>
              <w:top w:val="nil"/>
            </w:tcBorders>
            <w:shd w:val="clear" w:color="auto" w:fill="auto"/>
            <w:vAlign w:val="center"/>
          </w:tcPr>
          <w:p w14:paraId="3AB81825" w14:textId="77777777" w:rsidR="00DC1295" w:rsidRDefault="00977891">
            <w:bookmarkStart w:id="2" w:name="_heading=h.1fob9te" w:colFirst="0" w:colLast="0"/>
            <w:bookmarkEnd w:id="2"/>
            <w:r>
              <w:rPr>
                <w:rFonts w:ascii="Arial" w:eastAsia="Arial" w:hAnsi="Arial" w:cs="Arial"/>
                <w:color w:val="0000FF"/>
                <w:sz w:val="20"/>
                <w:szCs w:val="20"/>
              </w:rPr>
              <w:t>MN098325.1</w:t>
            </w:r>
          </w:p>
        </w:tc>
        <w:tc>
          <w:tcPr>
            <w:tcW w:w="717" w:type="dxa"/>
            <w:tcBorders>
              <w:top w:val="nil"/>
            </w:tcBorders>
            <w:shd w:val="clear" w:color="auto" w:fill="auto"/>
            <w:vAlign w:val="center"/>
          </w:tcPr>
          <w:p w14:paraId="43831005" w14:textId="77777777" w:rsidR="00DC1295" w:rsidRDefault="00977891">
            <w:r>
              <w:rPr>
                <w:rFonts w:ascii="Arial" w:eastAsia="Arial" w:hAnsi="Arial" w:cs="Arial"/>
                <w:sz w:val="20"/>
                <w:szCs w:val="20"/>
              </w:rPr>
              <w:t>17.71</w:t>
            </w:r>
          </w:p>
        </w:tc>
        <w:tc>
          <w:tcPr>
            <w:tcW w:w="694" w:type="dxa"/>
            <w:tcBorders>
              <w:top w:val="nil"/>
            </w:tcBorders>
            <w:shd w:val="clear" w:color="auto" w:fill="auto"/>
            <w:vAlign w:val="center"/>
          </w:tcPr>
          <w:p w14:paraId="160A5BB9" w14:textId="77777777" w:rsidR="00DC1295" w:rsidRDefault="00977891">
            <w:r>
              <w:rPr>
                <w:rFonts w:ascii="Arial" w:eastAsia="Arial" w:hAnsi="Arial" w:cs="Arial"/>
                <w:sz w:val="20"/>
                <w:szCs w:val="20"/>
              </w:rPr>
              <w:t>29.3</w:t>
            </w:r>
          </w:p>
        </w:tc>
        <w:tc>
          <w:tcPr>
            <w:tcW w:w="928" w:type="dxa"/>
            <w:tcBorders>
              <w:top w:val="nil"/>
            </w:tcBorders>
            <w:shd w:val="clear" w:color="auto" w:fill="auto"/>
            <w:vAlign w:val="center"/>
          </w:tcPr>
          <w:p w14:paraId="266D7BC2" w14:textId="77777777" w:rsidR="00DC1295" w:rsidRDefault="00977891">
            <w:r>
              <w:rPr>
                <w:rFonts w:ascii="Arial" w:eastAsia="Arial" w:hAnsi="Arial" w:cs="Arial"/>
                <w:color w:val="0000FF"/>
                <w:sz w:val="20"/>
                <w:szCs w:val="20"/>
                <w:u w:val="single"/>
              </w:rPr>
              <w:t>21*</w:t>
            </w:r>
          </w:p>
        </w:tc>
        <w:tc>
          <w:tcPr>
            <w:tcW w:w="950" w:type="dxa"/>
            <w:tcBorders>
              <w:top w:val="nil"/>
            </w:tcBorders>
            <w:shd w:val="clear" w:color="auto" w:fill="auto"/>
            <w:vAlign w:val="center"/>
          </w:tcPr>
          <w:p w14:paraId="51319A1E" w14:textId="77777777" w:rsidR="00DC1295" w:rsidRDefault="00977891">
            <w:r>
              <w:rPr>
                <w:rFonts w:ascii="Arial" w:eastAsia="Arial" w:hAnsi="Arial" w:cs="Arial"/>
                <w:sz w:val="20"/>
                <w:szCs w:val="20"/>
              </w:rPr>
              <w:t>0</w:t>
            </w:r>
          </w:p>
        </w:tc>
        <w:tc>
          <w:tcPr>
            <w:tcW w:w="1084" w:type="dxa"/>
            <w:tcBorders>
              <w:top w:val="nil"/>
            </w:tcBorders>
            <w:shd w:val="clear" w:color="auto" w:fill="auto"/>
          </w:tcPr>
          <w:p w14:paraId="76F2462A" w14:textId="77777777" w:rsidR="00DC1295" w:rsidRDefault="00977891">
            <w:r>
              <w:rPr>
                <w:rFonts w:ascii="Arial" w:eastAsia="Arial" w:hAnsi="Arial" w:cs="Arial"/>
                <w:sz w:val="20"/>
                <w:szCs w:val="20"/>
              </w:rPr>
              <w:t>82.2</w:t>
            </w:r>
          </w:p>
        </w:tc>
        <w:tc>
          <w:tcPr>
            <w:tcW w:w="1306" w:type="dxa"/>
            <w:tcBorders>
              <w:top w:val="nil"/>
            </w:tcBorders>
            <w:shd w:val="clear" w:color="auto" w:fill="auto"/>
          </w:tcPr>
          <w:p w14:paraId="477AAE39" w14:textId="77777777" w:rsidR="00DC1295" w:rsidRDefault="00977891">
            <w:r>
              <w:rPr>
                <w:rFonts w:ascii="Arial" w:eastAsia="Arial" w:hAnsi="Arial" w:cs="Arial"/>
                <w:sz w:val="20"/>
                <w:szCs w:val="20"/>
              </w:rPr>
              <w:t>100</w:t>
            </w:r>
          </w:p>
        </w:tc>
      </w:tr>
      <w:tr w:rsidR="00DC1295" w14:paraId="0EE8A7C5" w14:textId="77777777">
        <w:tc>
          <w:tcPr>
            <w:tcW w:w="1041" w:type="dxa"/>
            <w:tcBorders>
              <w:top w:val="nil"/>
            </w:tcBorders>
            <w:shd w:val="clear" w:color="auto" w:fill="auto"/>
          </w:tcPr>
          <w:p w14:paraId="1FE71CCC" w14:textId="77777777" w:rsidR="00DC1295" w:rsidRDefault="00977891">
            <w:r>
              <w:rPr>
                <w:rFonts w:ascii="Arial" w:eastAsia="Arial" w:hAnsi="Arial" w:cs="Arial"/>
                <w:sz w:val="20"/>
                <w:szCs w:val="20"/>
              </w:rPr>
              <w:t>EBHT</w:t>
            </w:r>
          </w:p>
        </w:tc>
        <w:tc>
          <w:tcPr>
            <w:tcW w:w="884" w:type="dxa"/>
            <w:tcBorders>
              <w:top w:val="nil"/>
            </w:tcBorders>
            <w:shd w:val="clear" w:color="auto" w:fill="auto"/>
            <w:vAlign w:val="center"/>
          </w:tcPr>
          <w:p w14:paraId="00487662" w14:textId="77777777" w:rsidR="00DC1295" w:rsidRDefault="00DC1295">
            <w:pPr>
              <w:rPr>
                <w:rFonts w:ascii="Arial" w:eastAsia="Arial" w:hAnsi="Arial" w:cs="Arial"/>
                <w:sz w:val="20"/>
                <w:szCs w:val="20"/>
              </w:rPr>
            </w:pPr>
          </w:p>
        </w:tc>
        <w:tc>
          <w:tcPr>
            <w:tcW w:w="1406" w:type="dxa"/>
            <w:tcBorders>
              <w:top w:val="nil"/>
            </w:tcBorders>
            <w:shd w:val="clear" w:color="auto" w:fill="auto"/>
            <w:vAlign w:val="center"/>
          </w:tcPr>
          <w:p w14:paraId="76F250E2" w14:textId="77777777" w:rsidR="00DC1295" w:rsidRDefault="00977891">
            <w:r>
              <w:rPr>
                <w:rFonts w:ascii="Arial" w:eastAsia="Arial" w:hAnsi="Arial" w:cs="Arial"/>
                <w:color w:val="0000FF"/>
                <w:sz w:val="20"/>
                <w:szCs w:val="20"/>
              </w:rPr>
              <w:t>MT926124.1</w:t>
            </w:r>
          </w:p>
        </w:tc>
        <w:tc>
          <w:tcPr>
            <w:tcW w:w="717" w:type="dxa"/>
            <w:tcBorders>
              <w:top w:val="nil"/>
            </w:tcBorders>
            <w:shd w:val="clear" w:color="auto" w:fill="auto"/>
            <w:vAlign w:val="center"/>
          </w:tcPr>
          <w:p w14:paraId="4915F2A7" w14:textId="77777777" w:rsidR="00DC1295" w:rsidRDefault="00977891">
            <w:r>
              <w:rPr>
                <w:rFonts w:ascii="Arial" w:eastAsia="Arial" w:hAnsi="Arial" w:cs="Arial"/>
                <w:sz w:val="20"/>
                <w:szCs w:val="20"/>
              </w:rPr>
              <w:t>17.47</w:t>
            </w:r>
          </w:p>
        </w:tc>
        <w:tc>
          <w:tcPr>
            <w:tcW w:w="694" w:type="dxa"/>
            <w:tcBorders>
              <w:top w:val="nil"/>
            </w:tcBorders>
            <w:shd w:val="clear" w:color="auto" w:fill="auto"/>
            <w:vAlign w:val="center"/>
          </w:tcPr>
          <w:p w14:paraId="6A0ABEF7" w14:textId="77777777" w:rsidR="00DC1295" w:rsidRDefault="00977891">
            <w:r>
              <w:rPr>
                <w:rFonts w:ascii="Arial" w:eastAsia="Arial" w:hAnsi="Arial" w:cs="Arial"/>
                <w:sz w:val="20"/>
                <w:szCs w:val="20"/>
              </w:rPr>
              <w:t>29.6</w:t>
            </w:r>
          </w:p>
        </w:tc>
        <w:tc>
          <w:tcPr>
            <w:tcW w:w="928" w:type="dxa"/>
            <w:tcBorders>
              <w:top w:val="nil"/>
            </w:tcBorders>
            <w:shd w:val="clear" w:color="auto" w:fill="auto"/>
            <w:vAlign w:val="center"/>
          </w:tcPr>
          <w:p w14:paraId="394D02D1" w14:textId="77777777" w:rsidR="00DC1295" w:rsidRDefault="00977891">
            <w:r>
              <w:rPr>
                <w:rFonts w:ascii="Arial" w:eastAsia="Arial" w:hAnsi="Arial" w:cs="Arial"/>
                <w:color w:val="0000FF"/>
                <w:sz w:val="20"/>
                <w:szCs w:val="20"/>
                <w:u w:val="single"/>
              </w:rPr>
              <w:t>21*</w:t>
            </w:r>
          </w:p>
        </w:tc>
        <w:tc>
          <w:tcPr>
            <w:tcW w:w="950" w:type="dxa"/>
            <w:tcBorders>
              <w:top w:val="nil"/>
            </w:tcBorders>
            <w:shd w:val="clear" w:color="auto" w:fill="auto"/>
            <w:vAlign w:val="center"/>
          </w:tcPr>
          <w:p w14:paraId="5A71D3C8" w14:textId="77777777" w:rsidR="00DC1295" w:rsidRDefault="00977891">
            <w:r>
              <w:rPr>
                <w:rFonts w:ascii="Arial" w:eastAsia="Arial" w:hAnsi="Arial" w:cs="Arial"/>
                <w:sz w:val="20"/>
                <w:szCs w:val="20"/>
              </w:rPr>
              <w:t>0</w:t>
            </w:r>
          </w:p>
        </w:tc>
        <w:tc>
          <w:tcPr>
            <w:tcW w:w="1084" w:type="dxa"/>
            <w:tcBorders>
              <w:top w:val="nil"/>
            </w:tcBorders>
            <w:shd w:val="clear" w:color="auto" w:fill="auto"/>
          </w:tcPr>
          <w:p w14:paraId="5BD680E9" w14:textId="77777777" w:rsidR="00DC1295" w:rsidRDefault="00977891">
            <w:r>
              <w:rPr>
                <w:rFonts w:ascii="Arial" w:eastAsia="Arial" w:hAnsi="Arial" w:cs="Arial"/>
                <w:sz w:val="20"/>
                <w:szCs w:val="20"/>
              </w:rPr>
              <w:t>79.8</w:t>
            </w:r>
          </w:p>
        </w:tc>
        <w:tc>
          <w:tcPr>
            <w:tcW w:w="1306" w:type="dxa"/>
            <w:tcBorders>
              <w:top w:val="nil"/>
            </w:tcBorders>
            <w:shd w:val="clear" w:color="auto" w:fill="auto"/>
          </w:tcPr>
          <w:p w14:paraId="4F1C6201" w14:textId="77777777" w:rsidR="00DC1295" w:rsidRDefault="00977891">
            <w:r>
              <w:rPr>
                <w:rFonts w:ascii="Arial" w:eastAsia="Arial" w:hAnsi="Arial" w:cs="Arial"/>
                <w:sz w:val="20"/>
                <w:szCs w:val="20"/>
              </w:rPr>
              <w:t>100</w:t>
            </w:r>
          </w:p>
        </w:tc>
      </w:tr>
      <w:tr w:rsidR="00DC1295" w14:paraId="3697D447" w14:textId="77777777">
        <w:tc>
          <w:tcPr>
            <w:tcW w:w="1041" w:type="dxa"/>
            <w:tcBorders>
              <w:top w:val="nil"/>
            </w:tcBorders>
            <w:shd w:val="clear" w:color="auto" w:fill="auto"/>
          </w:tcPr>
          <w:p w14:paraId="0E78D728" w14:textId="77777777" w:rsidR="00DC1295" w:rsidRDefault="00977891">
            <w:r>
              <w:rPr>
                <w:rFonts w:ascii="Arial" w:eastAsia="Arial" w:hAnsi="Arial" w:cs="Arial"/>
                <w:sz w:val="20"/>
                <w:szCs w:val="20"/>
              </w:rPr>
              <w:t>LSA2366</w:t>
            </w:r>
          </w:p>
        </w:tc>
        <w:tc>
          <w:tcPr>
            <w:tcW w:w="884" w:type="dxa"/>
            <w:tcBorders>
              <w:top w:val="nil"/>
            </w:tcBorders>
            <w:shd w:val="clear" w:color="auto" w:fill="auto"/>
            <w:vAlign w:val="center"/>
          </w:tcPr>
          <w:p w14:paraId="4CE2E1E9" w14:textId="77777777" w:rsidR="00DC1295" w:rsidRDefault="00DC1295">
            <w:pPr>
              <w:rPr>
                <w:rFonts w:ascii="Arial" w:eastAsia="Arial" w:hAnsi="Arial" w:cs="Arial"/>
                <w:sz w:val="20"/>
                <w:szCs w:val="20"/>
              </w:rPr>
            </w:pPr>
          </w:p>
        </w:tc>
        <w:tc>
          <w:tcPr>
            <w:tcW w:w="1406" w:type="dxa"/>
            <w:tcBorders>
              <w:top w:val="nil"/>
            </w:tcBorders>
            <w:shd w:val="clear" w:color="auto" w:fill="auto"/>
            <w:vAlign w:val="center"/>
          </w:tcPr>
          <w:p w14:paraId="37019351" w14:textId="77777777" w:rsidR="00DC1295" w:rsidRDefault="00977891">
            <w:r>
              <w:rPr>
                <w:rFonts w:ascii="Arial" w:eastAsia="Arial" w:hAnsi="Arial" w:cs="Arial"/>
                <w:color w:val="0000FF"/>
                <w:sz w:val="20"/>
                <w:szCs w:val="20"/>
              </w:rPr>
              <w:t>MW363799.1</w:t>
            </w:r>
          </w:p>
        </w:tc>
        <w:tc>
          <w:tcPr>
            <w:tcW w:w="717" w:type="dxa"/>
            <w:tcBorders>
              <w:top w:val="nil"/>
            </w:tcBorders>
            <w:shd w:val="clear" w:color="auto" w:fill="auto"/>
            <w:vAlign w:val="center"/>
          </w:tcPr>
          <w:p w14:paraId="527D64F0" w14:textId="77777777" w:rsidR="00DC1295" w:rsidRDefault="00977891">
            <w:r>
              <w:rPr>
                <w:rFonts w:ascii="Arial" w:eastAsia="Arial" w:hAnsi="Arial" w:cs="Arial"/>
                <w:sz w:val="20"/>
                <w:szCs w:val="20"/>
              </w:rPr>
              <w:t>17.06</w:t>
            </w:r>
          </w:p>
        </w:tc>
        <w:tc>
          <w:tcPr>
            <w:tcW w:w="694" w:type="dxa"/>
            <w:tcBorders>
              <w:top w:val="nil"/>
            </w:tcBorders>
            <w:shd w:val="clear" w:color="auto" w:fill="auto"/>
            <w:vAlign w:val="center"/>
          </w:tcPr>
          <w:p w14:paraId="2F963536" w14:textId="77777777" w:rsidR="00DC1295" w:rsidRDefault="00977891">
            <w:r>
              <w:rPr>
                <w:rFonts w:ascii="Arial" w:eastAsia="Arial" w:hAnsi="Arial" w:cs="Arial"/>
                <w:sz w:val="20"/>
                <w:szCs w:val="20"/>
              </w:rPr>
              <w:t>29.4</w:t>
            </w:r>
          </w:p>
        </w:tc>
        <w:tc>
          <w:tcPr>
            <w:tcW w:w="928" w:type="dxa"/>
            <w:tcBorders>
              <w:top w:val="nil"/>
            </w:tcBorders>
            <w:shd w:val="clear" w:color="auto" w:fill="auto"/>
            <w:vAlign w:val="center"/>
          </w:tcPr>
          <w:p w14:paraId="30843348" w14:textId="77777777" w:rsidR="00DC1295" w:rsidRDefault="00977891">
            <w:r>
              <w:rPr>
                <w:rFonts w:ascii="Arial" w:eastAsia="Arial" w:hAnsi="Arial" w:cs="Arial"/>
                <w:color w:val="0000FF"/>
                <w:sz w:val="20"/>
                <w:szCs w:val="20"/>
                <w:u w:val="single"/>
              </w:rPr>
              <w:t>21</w:t>
            </w:r>
          </w:p>
        </w:tc>
        <w:tc>
          <w:tcPr>
            <w:tcW w:w="950" w:type="dxa"/>
            <w:tcBorders>
              <w:top w:val="nil"/>
            </w:tcBorders>
            <w:shd w:val="clear" w:color="auto" w:fill="auto"/>
            <w:vAlign w:val="center"/>
          </w:tcPr>
          <w:p w14:paraId="5AB022C0" w14:textId="77777777" w:rsidR="00DC1295" w:rsidRDefault="00977891">
            <w:r>
              <w:rPr>
                <w:rFonts w:ascii="Arial" w:eastAsia="Arial" w:hAnsi="Arial" w:cs="Arial"/>
                <w:sz w:val="20"/>
                <w:szCs w:val="20"/>
              </w:rPr>
              <w:t>0</w:t>
            </w:r>
          </w:p>
        </w:tc>
        <w:tc>
          <w:tcPr>
            <w:tcW w:w="1084" w:type="dxa"/>
            <w:tcBorders>
              <w:top w:val="nil"/>
            </w:tcBorders>
            <w:shd w:val="clear" w:color="auto" w:fill="auto"/>
          </w:tcPr>
          <w:p w14:paraId="32321889" w14:textId="77777777" w:rsidR="00DC1295" w:rsidRDefault="00977891">
            <w:r>
              <w:rPr>
                <w:rFonts w:ascii="Arial" w:eastAsia="Arial" w:hAnsi="Arial" w:cs="Arial"/>
                <w:sz w:val="20"/>
                <w:szCs w:val="20"/>
              </w:rPr>
              <w:t>83.4</w:t>
            </w:r>
          </w:p>
        </w:tc>
        <w:tc>
          <w:tcPr>
            <w:tcW w:w="1306" w:type="dxa"/>
            <w:tcBorders>
              <w:top w:val="nil"/>
            </w:tcBorders>
            <w:shd w:val="clear" w:color="auto" w:fill="auto"/>
          </w:tcPr>
          <w:p w14:paraId="46E4121E" w14:textId="77777777" w:rsidR="00DC1295" w:rsidRDefault="00977891">
            <w:r>
              <w:rPr>
                <w:rFonts w:ascii="Arial" w:eastAsia="Arial" w:hAnsi="Arial" w:cs="Arial"/>
                <w:sz w:val="20"/>
                <w:szCs w:val="20"/>
              </w:rPr>
              <w:t>100</w:t>
            </w:r>
          </w:p>
        </w:tc>
      </w:tr>
    </w:tbl>
    <w:p w14:paraId="79B7774A" w14:textId="77777777" w:rsidR="00DC1295" w:rsidRDefault="00977891">
      <w:r>
        <w:rPr>
          <w:rFonts w:ascii="Arial" w:eastAsia="Arial" w:hAnsi="Arial" w:cs="Arial"/>
          <w:b/>
          <w:sz w:val="20"/>
          <w:szCs w:val="20"/>
        </w:rPr>
        <w:t>(*) determined using tBlastn [1,2]. The original sequence submissions does not include all genes</w:t>
      </w:r>
    </w:p>
    <w:p w14:paraId="0E684760" w14:textId="77777777" w:rsidR="00DC1295" w:rsidRDefault="00977891">
      <w:r>
        <w:rPr>
          <w:rFonts w:ascii="Arial" w:eastAsia="Arial" w:hAnsi="Arial" w:cs="Arial"/>
          <w:b/>
          <w:sz w:val="20"/>
          <w:szCs w:val="20"/>
        </w:rPr>
        <w:t>(**) determined using RNAscan-SE [3]</w:t>
      </w:r>
    </w:p>
    <w:p w14:paraId="5186DA28" w14:textId="77777777" w:rsidR="00DC1295" w:rsidRDefault="00977891">
      <w:r>
        <w:rPr>
          <w:rFonts w:ascii="Arial" w:eastAsia="Arial" w:hAnsi="Arial" w:cs="Arial"/>
          <w:b/>
          <w:sz w:val="20"/>
          <w:szCs w:val="20"/>
        </w:rPr>
        <w:t>(***) determined using Viridic [4]</w:t>
      </w:r>
    </w:p>
    <w:p w14:paraId="3D6C17C8" w14:textId="77777777" w:rsidR="00DC1295" w:rsidRDefault="00977891">
      <w:r>
        <w:rPr>
          <w:rFonts w:ascii="Arial" w:eastAsia="Arial" w:hAnsi="Arial" w:cs="Arial"/>
          <w:b/>
          <w:sz w:val="20"/>
          <w:szCs w:val="20"/>
        </w:rPr>
        <w:t>(****) determined using CoreGenes 5.0 [5,6]</w:t>
      </w:r>
    </w:p>
    <w:p w14:paraId="76D93908" w14:textId="77777777" w:rsidR="00DC1295" w:rsidRDefault="00DC1295">
      <w:pPr>
        <w:rPr>
          <w:rFonts w:ascii="Arial" w:eastAsia="Arial" w:hAnsi="Arial" w:cs="Arial"/>
          <w:b/>
          <w:sz w:val="20"/>
          <w:szCs w:val="20"/>
        </w:rPr>
      </w:pPr>
    </w:p>
    <w:p w14:paraId="066DDEE5" w14:textId="77777777" w:rsidR="00DC1295" w:rsidRDefault="00DC1295">
      <w:pPr>
        <w:rPr>
          <w:rFonts w:ascii="Arial" w:eastAsia="Arial" w:hAnsi="Arial" w:cs="Arial"/>
          <w:b/>
          <w:sz w:val="20"/>
          <w:szCs w:val="20"/>
        </w:rPr>
      </w:pPr>
    </w:p>
    <w:p w14:paraId="400CBBC0" w14:textId="77777777" w:rsidR="00DC1295" w:rsidRDefault="00977891">
      <w:bookmarkStart w:id="3" w:name="_heading=h.3znysh7" w:colFirst="0" w:colLast="0"/>
      <w:bookmarkEnd w:id="3"/>
      <w:r>
        <w:rPr>
          <w:rFonts w:ascii="Arial" w:eastAsia="Arial" w:hAnsi="Arial" w:cs="Arial"/>
          <w:b/>
          <w:color w:val="0000FF"/>
          <w:sz w:val="20"/>
          <w:szCs w:val="20"/>
        </w:rPr>
        <w:t xml:space="preserve">BLASTN homologs: </w:t>
      </w:r>
      <w:r>
        <w:rPr>
          <w:rFonts w:ascii="Arial" w:eastAsia="Arial" w:hAnsi="Arial" w:cs="Arial"/>
          <w:color w:val="0000FF"/>
          <w:sz w:val="20"/>
          <w:szCs w:val="20"/>
        </w:rPr>
        <w:t xml:space="preserve"> </w:t>
      </w:r>
      <w:r>
        <w:rPr>
          <w:rFonts w:ascii="Arial" w:eastAsia="Arial" w:hAnsi="Arial" w:cs="Arial"/>
          <w:b/>
          <w:sz w:val="20"/>
          <w:szCs w:val="20"/>
        </w:rPr>
        <w:t xml:space="preserve">VIRIDIC analysis reveals that the closest relative besides other phages of </w:t>
      </w:r>
      <w:r>
        <w:rPr>
          <w:rFonts w:ascii="Arial" w:eastAsia="Arial" w:hAnsi="Arial" w:cs="Arial"/>
          <w:b/>
          <w:i/>
          <w:sz w:val="20"/>
          <w:szCs w:val="20"/>
        </w:rPr>
        <w:t>Rosenblumvirus</w:t>
      </w:r>
      <w:r>
        <w:rPr>
          <w:rFonts w:ascii="Arial" w:eastAsia="Arial" w:hAnsi="Arial" w:cs="Arial"/>
          <w:b/>
          <w:sz w:val="20"/>
          <w:szCs w:val="20"/>
        </w:rPr>
        <w:t xml:space="preserve"> genus is Staphylococcus phage</w:t>
      </w:r>
      <w:r>
        <w:rPr>
          <w:rFonts w:ascii="Arial" w:eastAsia="Arial" w:hAnsi="Arial" w:cs="Arial"/>
          <w:b/>
          <w:i/>
          <w:sz w:val="20"/>
          <w:szCs w:val="20"/>
        </w:rPr>
        <w:t xml:space="preserve"> </w:t>
      </w:r>
      <w:r>
        <w:rPr>
          <w:rFonts w:ascii="Arial" w:eastAsia="Arial" w:hAnsi="Arial" w:cs="Arial"/>
          <w:b/>
          <w:sz w:val="20"/>
          <w:szCs w:val="20"/>
        </w:rPr>
        <w:t xml:space="preserve">St 134 [KY471386.1] of </w:t>
      </w:r>
      <w:r>
        <w:rPr>
          <w:rFonts w:ascii="Arial" w:eastAsia="Arial" w:hAnsi="Arial" w:cs="Arial"/>
          <w:b/>
          <w:i/>
          <w:sz w:val="20"/>
          <w:szCs w:val="20"/>
        </w:rPr>
        <w:t>Andhravirus</w:t>
      </w:r>
      <w:r>
        <w:rPr>
          <w:rFonts w:ascii="Arial" w:eastAsia="Arial" w:hAnsi="Arial" w:cs="Arial"/>
          <w:b/>
          <w:sz w:val="20"/>
          <w:szCs w:val="20"/>
        </w:rPr>
        <w:t xml:space="preserve"> genus of </w:t>
      </w:r>
      <w:r>
        <w:rPr>
          <w:rFonts w:ascii="Arial" w:eastAsia="Arial" w:hAnsi="Arial" w:cs="Arial"/>
          <w:b/>
          <w:i/>
          <w:sz w:val="20"/>
          <w:szCs w:val="20"/>
        </w:rPr>
        <w:t>Rakietenvirinae</w:t>
      </w:r>
      <w:r>
        <w:rPr>
          <w:rFonts w:ascii="Arial" w:eastAsia="Arial" w:hAnsi="Arial" w:cs="Arial"/>
          <w:b/>
          <w:sz w:val="20"/>
          <w:szCs w:val="20"/>
        </w:rPr>
        <w:t xml:space="preserve"> subfamily of </w:t>
      </w:r>
      <w:r>
        <w:rPr>
          <w:rFonts w:ascii="Arial" w:eastAsia="Arial" w:hAnsi="Arial" w:cs="Arial"/>
          <w:b/>
          <w:i/>
          <w:sz w:val="20"/>
          <w:szCs w:val="20"/>
        </w:rPr>
        <w:t>Rountreeviridae</w:t>
      </w:r>
      <w:r>
        <w:rPr>
          <w:rFonts w:ascii="Arial" w:eastAsia="Arial" w:hAnsi="Arial" w:cs="Arial"/>
          <w:b/>
          <w:sz w:val="20"/>
          <w:szCs w:val="20"/>
        </w:rPr>
        <w:t xml:space="preserve"> family.  It shares 43.7% DNA sequence identity with SA46-CL1.  </w:t>
      </w:r>
    </w:p>
    <w:p w14:paraId="438B964F" w14:textId="77777777" w:rsidR="00DC1295" w:rsidRDefault="00DC1295">
      <w:pPr>
        <w:rPr>
          <w:rFonts w:ascii="Arial" w:eastAsia="Arial" w:hAnsi="Arial" w:cs="Arial"/>
          <w:sz w:val="20"/>
          <w:szCs w:val="20"/>
        </w:rPr>
      </w:pPr>
    </w:p>
    <w:p w14:paraId="5D121B35" w14:textId="77777777" w:rsidR="00DC1295" w:rsidRDefault="00977891">
      <w:r>
        <w:rPr>
          <w:rFonts w:ascii="Arial" w:eastAsia="Arial" w:hAnsi="Arial" w:cs="Arial"/>
          <w:b/>
          <w:color w:val="0000FF"/>
          <w:sz w:val="20"/>
          <w:szCs w:val="20"/>
        </w:rPr>
        <w:lastRenderedPageBreak/>
        <w:t xml:space="preserve">VIRIDIC heat map: </w:t>
      </w:r>
      <w:r>
        <w:rPr>
          <w:rFonts w:ascii="Arial" w:eastAsia="Arial" w:hAnsi="Arial" w:cs="Arial"/>
          <w:sz w:val="20"/>
          <w:szCs w:val="20"/>
        </w:rPr>
        <w:t xml:space="preserve">VIRIDIC (Virus Intergenomic Distance Calculator; [4]) computes pairwise intergenomic distances/similarities amongst phage genomes. The comparison below provides the results of DNA sequence comparison of strains of known and proposed new species of staphylococcal </w:t>
      </w:r>
      <w:r>
        <w:rPr>
          <w:rFonts w:ascii="Arial" w:eastAsia="Arial" w:hAnsi="Arial" w:cs="Arial"/>
          <w:i/>
          <w:sz w:val="20"/>
          <w:szCs w:val="20"/>
        </w:rPr>
        <w:t>Andhravirus</w:t>
      </w:r>
      <w:r>
        <w:rPr>
          <w:rFonts w:ascii="Arial" w:eastAsia="Arial" w:hAnsi="Arial" w:cs="Arial"/>
          <w:sz w:val="20"/>
          <w:szCs w:val="20"/>
        </w:rPr>
        <w:t xml:space="preserve"> and </w:t>
      </w:r>
      <w:r>
        <w:rPr>
          <w:rFonts w:ascii="Arial" w:eastAsia="Arial" w:hAnsi="Arial" w:cs="Arial"/>
          <w:i/>
          <w:sz w:val="20"/>
          <w:szCs w:val="20"/>
        </w:rPr>
        <w:t>Rosenblumvirus</w:t>
      </w:r>
      <w:r>
        <w:rPr>
          <w:rFonts w:ascii="Arial" w:eastAsia="Arial" w:hAnsi="Arial" w:cs="Arial"/>
          <w:sz w:val="20"/>
          <w:szCs w:val="20"/>
        </w:rPr>
        <w:t xml:space="preserve"> genus phages. The phage names on a white background and those highlighted in yellow correspond to existing species (new strains of these species are highlighted in yellow), while the ones in orange are those which will be added through this TaxoProp. New species are indicated by arrows. </w:t>
      </w:r>
    </w:p>
    <w:p w14:paraId="1AAA972C" w14:textId="77777777" w:rsidR="00DC1295" w:rsidRDefault="00DC1295">
      <w:pPr>
        <w:rPr>
          <w:rFonts w:ascii="Arial" w:eastAsia="Arial" w:hAnsi="Arial" w:cs="Arial"/>
          <w:sz w:val="20"/>
          <w:szCs w:val="20"/>
        </w:rPr>
      </w:pPr>
    </w:p>
    <w:p w14:paraId="1D764170" w14:textId="77777777" w:rsidR="00DC1295" w:rsidRDefault="00977891">
      <w:pPr>
        <w:rPr>
          <w:rFonts w:ascii="Arial" w:eastAsia="Arial" w:hAnsi="Arial" w:cs="Arial"/>
          <w:b/>
          <w:color w:val="0000FF"/>
          <w:sz w:val="20"/>
          <w:szCs w:val="20"/>
        </w:rPr>
      </w:pPr>
      <w:r>
        <w:rPr>
          <w:noProof/>
        </w:rPr>
        <w:drawing>
          <wp:anchor distT="0" distB="0" distL="0" distR="0" simplePos="0" relativeHeight="251659264" behindDoc="0" locked="0" layoutInCell="1" hidden="0" allowOverlap="1" wp14:anchorId="273EC0E9" wp14:editId="2D7B6790">
            <wp:simplePos x="0" y="0"/>
            <wp:positionH relativeFrom="column">
              <wp:posOffset>0</wp:posOffset>
            </wp:positionH>
            <wp:positionV relativeFrom="paragraph">
              <wp:posOffset>635</wp:posOffset>
            </wp:positionV>
            <wp:extent cx="5731510" cy="4027805"/>
            <wp:effectExtent l="0" t="0" r="0" b="0"/>
            <wp:wrapSquare wrapText="bothSides" distT="0" distB="0" distL="0" distR="0"/>
            <wp:docPr id="11" name="image2.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Chart&#10;&#10;Description automatically generated"/>
                    <pic:cNvPicPr preferRelativeResize="0"/>
                  </pic:nvPicPr>
                  <pic:blipFill>
                    <a:blip r:embed="rId8"/>
                    <a:srcRect/>
                    <a:stretch>
                      <a:fillRect/>
                    </a:stretch>
                  </pic:blipFill>
                  <pic:spPr>
                    <a:xfrm>
                      <a:off x="0" y="0"/>
                      <a:ext cx="5731510" cy="4027805"/>
                    </a:xfrm>
                    <a:prstGeom prst="rect">
                      <a:avLst/>
                    </a:prstGeom>
                    <a:ln/>
                  </pic:spPr>
                </pic:pic>
              </a:graphicData>
            </a:graphic>
          </wp:anchor>
        </w:drawing>
      </w:r>
    </w:p>
    <w:p w14:paraId="5CB91FFB" w14:textId="77777777" w:rsidR="00DC1295" w:rsidRDefault="00DC1295">
      <w:pPr>
        <w:rPr>
          <w:rFonts w:ascii="Arial" w:eastAsia="Arial" w:hAnsi="Arial" w:cs="Arial"/>
          <w:b/>
          <w:color w:val="0000FF"/>
          <w:sz w:val="20"/>
          <w:szCs w:val="20"/>
        </w:rPr>
      </w:pPr>
    </w:p>
    <w:p w14:paraId="450CC629" w14:textId="77777777" w:rsidR="00DC1295" w:rsidRDefault="00977891">
      <w:r>
        <w:rPr>
          <w:rFonts w:ascii="Arial" w:eastAsia="Arial" w:hAnsi="Arial" w:cs="Arial"/>
          <w:b/>
          <w:color w:val="0000FF"/>
          <w:sz w:val="20"/>
          <w:szCs w:val="20"/>
        </w:rPr>
        <w:t xml:space="preserve">ViPTree analysis: </w:t>
      </w:r>
      <w:r>
        <w:rPr>
          <w:rFonts w:ascii="Arial" w:eastAsia="Arial" w:hAnsi="Arial" w:cs="Arial"/>
          <w:sz w:val="20"/>
          <w:szCs w:val="20"/>
        </w:rPr>
        <w:t>ViPTree analysis (</w:t>
      </w:r>
      <w:hyperlink r:id="rId9">
        <w:r>
          <w:rPr>
            <w:rFonts w:ascii="Arial" w:eastAsia="Arial" w:hAnsi="Arial" w:cs="Arial"/>
            <w:color w:val="0000FF"/>
            <w:sz w:val="20"/>
            <w:szCs w:val="20"/>
            <w:u w:val="single"/>
          </w:rPr>
          <w:t>https://www.genome.jp/viptree/</w:t>
        </w:r>
      </w:hyperlink>
      <w:r>
        <w:rPr>
          <w:rFonts w:ascii="Arial" w:eastAsia="Arial" w:hAnsi="Arial" w:cs="Arial"/>
          <w:sz w:val="20"/>
          <w:szCs w:val="20"/>
        </w:rPr>
        <w:t xml:space="preserve">; [7]) is based upon Rohwer and Edwards (2002) famous Phage Proteomic Tree [8].  The </w:t>
      </w:r>
      <w:r>
        <w:rPr>
          <w:rFonts w:ascii="Arial" w:eastAsia="Arial" w:hAnsi="Arial" w:cs="Arial"/>
          <w:b/>
          <w:color w:val="FF6633"/>
          <w:sz w:val="20"/>
          <w:szCs w:val="20"/>
        </w:rPr>
        <w:t>orange arrows</w:t>
      </w:r>
      <w:r>
        <w:rPr>
          <w:rFonts w:ascii="Arial" w:eastAsia="Arial" w:hAnsi="Arial" w:cs="Arial"/>
          <w:sz w:val="20"/>
          <w:szCs w:val="20"/>
        </w:rPr>
        <w:t xml:space="preserve"> point to the new species of  the </w:t>
      </w:r>
      <w:r>
        <w:rPr>
          <w:rFonts w:ascii="Arial" w:eastAsia="Arial" w:hAnsi="Arial" w:cs="Arial"/>
          <w:i/>
          <w:sz w:val="20"/>
          <w:szCs w:val="20"/>
        </w:rPr>
        <w:t xml:space="preserve">Rosenblumvirus </w:t>
      </w:r>
      <w:r>
        <w:rPr>
          <w:rFonts w:ascii="Arial" w:eastAsia="Arial" w:hAnsi="Arial" w:cs="Arial"/>
          <w:sz w:val="20"/>
          <w:szCs w:val="20"/>
        </w:rPr>
        <w:t>genus.</w:t>
      </w:r>
    </w:p>
    <w:p w14:paraId="161AF4E7" w14:textId="77777777" w:rsidR="00DC1295" w:rsidRDefault="00977891">
      <w:r>
        <w:rPr>
          <w:noProof/>
        </w:rPr>
        <mc:AlternateContent>
          <mc:Choice Requires="wpg">
            <w:drawing>
              <wp:anchor distT="0" distB="0" distL="114300" distR="114300" simplePos="0" relativeHeight="251660288" behindDoc="0" locked="0" layoutInCell="1" hidden="0" allowOverlap="1" wp14:anchorId="7240CCA3" wp14:editId="3AF77470">
                <wp:simplePos x="0" y="0"/>
                <wp:positionH relativeFrom="column">
                  <wp:posOffset>2501900</wp:posOffset>
                </wp:positionH>
                <wp:positionV relativeFrom="paragraph">
                  <wp:posOffset>5295900</wp:posOffset>
                </wp:positionV>
                <wp:extent cx="262890" cy="292100"/>
                <wp:effectExtent l="0" t="0" r="0" b="0"/>
                <wp:wrapNone/>
                <wp:docPr id="8" name="Triangle 8"/>
                <wp:cNvGraphicFramePr/>
                <a:graphic xmlns:a="http://schemas.openxmlformats.org/drawingml/2006/main">
                  <a:graphicData uri="http://schemas.microsoft.com/office/word/2010/wordprocessingShape">
                    <wps:wsp>
                      <wps:cNvSpPr/>
                      <wps:spPr>
                        <a:xfrm>
                          <a:off x="5221260" y="3640680"/>
                          <a:ext cx="249480" cy="278640"/>
                        </a:xfrm>
                        <a:prstGeom prst="triangle">
                          <a:avLst>
                            <a:gd name="adj" fmla="val 50000"/>
                          </a:avLst>
                        </a:prstGeom>
                        <a:solidFill>
                          <a:srgbClr val="FF0000"/>
                        </a:solidFill>
                        <a:ln w="12700" cap="flat" cmpd="sng">
                          <a:solidFill>
                            <a:srgbClr val="FF0000"/>
                          </a:solidFill>
                          <a:prstDash val="solid"/>
                          <a:miter lim="800000"/>
                          <a:headEnd type="none" w="sm" len="sm"/>
                          <a:tailEnd type="none" w="sm" len="sm"/>
                        </a:ln>
                      </wps:spPr>
                      <wps:txbx>
                        <w:txbxContent>
                          <w:p w14:paraId="29F4CAEC" w14:textId="77777777" w:rsidR="00DC1295" w:rsidRDefault="00DC129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2501900</wp:posOffset>
                </wp:positionH>
                <wp:positionV relativeFrom="paragraph">
                  <wp:posOffset>5295900</wp:posOffset>
                </wp:positionV>
                <wp:extent cx="262890" cy="292100"/>
                <wp:effectExtent b="0" l="0" r="0" t="0"/>
                <wp:wrapNone/>
                <wp:docPr id="8"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62890" cy="292100"/>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14:anchorId="423AC3D4" wp14:editId="63777F5E">
                <wp:simplePos x="0" y="0"/>
                <wp:positionH relativeFrom="column">
                  <wp:posOffset>2501900</wp:posOffset>
                </wp:positionH>
                <wp:positionV relativeFrom="paragraph">
                  <wp:posOffset>4673600</wp:posOffset>
                </wp:positionV>
                <wp:extent cx="262790" cy="292000"/>
                <wp:effectExtent l="0" t="0" r="0" b="0"/>
                <wp:wrapNone/>
                <wp:docPr id="7" name="Triangle 7"/>
                <wp:cNvGraphicFramePr/>
                <a:graphic xmlns:a="http://schemas.openxmlformats.org/drawingml/2006/main">
                  <a:graphicData uri="http://schemas.microsoft.com/office/word/2010/wordprocessingShape">
                    <wps:wsp>
                      <wps:cNvSpPr/>
                      <wps:spPr>
                        <a:xfrm>
                          <a:off x="5221260" y="3640680"/>
                          <a:ext cx="249480" cy="278640"/>
                        </a:xfrm>
                        <a:prstGeom prst="triangle">
                          <a:avLst>
                            <a:gd name="adj" fmla="val 50000"/>
                          </a:avLst>
                        </a:prstGeom>
                        <a:solidFill>
                          <a:srgbClr val="FF0000"/>
                        </a:solidFill>
                        <a:ln w="12600" cap="flat" cmpd="sng">
                          <a:solidFill>
                            <a:srgbClr val="FF0000"/>
                          </a:solidFill>
                          <a:prstDash val="solid"/>
                          <a:miter lim="8000"/>
                          <a:headEnd type="none" w="sm" len="sm"/>
                          <a:tailEnd type="none" w="sm" len="sm"/>
                        </a:ln>
                      </wps:spPr>
                      <wps:txbx>
                        <w:txbxContent>
                          <w:p w14:paraId="7FD87F9A" w14:textId="77777777" w:rsidR="00DC1295" w:rsidRDefault="00DC129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2501900</wp:posOffset>
                </wp:positionH>
                <wp:positionV relativeFrom="paragraph">
                  <wp:posOffset>4673600</wp:posOffset>
                </wp:positionV>
                <wp:extent cx="262790" cy="292000"/>
                <wp:effectExtent b="0" l="0" r="0" t="0"/>
                <wp:wrapNone/>
                <wp:docPr id="7"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262790" cy="292000"/>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14:anchorId="7A5E33CE" wp14:editId="0AF64CF1">
                <wp:simplePos x="0" y="0"/>
                <wp:positionH relativeFrom="column">
                  <wp:posOffset>2489200</wp:posOffset>
                </wp:positionH>
                <wp:positionV relativeFrom="paragraph">
                  <wp:posOffset>3873500</wp:posOffset>
                </wp:positionV>
                <wp:extent cx="262790" cy="292000"/>
                <wp:effectExtent l="0" t="0" r="0" b="0"/>
                <wp:wrapNone/>
                <wp:docPr id="10" name="Triangle 10"/>
                <wp:cNvGraphicFramePr/>
                <a:graphic xmlns:a="http://schemas.openxmlformats.org/drawingml/2006/main">
                  <a:graphicData uri="http://schemas.microsoft.com/office/word/2010/wordprocessingShape">
                    <wps:wsp>
                      <wps:cNvSpPr/>
                      <wps:spPr>
                        <a:xfrm>
                          <a:off x="5221260" y="3640680"/>
                          <a:ext cx="249480" cy="278640"/>
                        </a:xfrm>
                        <a:prstGeom prst="triangle">
                          <a:avLst>
                            <a:gd name="adj" fmla="val 50000"/>
                          </a:avLst>
                        </a:prstGeom>
                        <a:solidFill>
                          <a:srgbClr val="FF0000"/>
                        </a:solidFill>
                        <a:ln w="12600" cap="flat" cmpd="sng">
                          <a:solidFill>
                            <a:srgbClr val="FF0000"/>
                          </a:solidFill>
                          <a:prstDash val="solid"/>
                          <a:miter lim="8000"/>
                          <a:headEnd type="none" w="sm" len="sm"/>
                          <a:tailEnd type="none" w="sm" len="sm"/>
                        </a:ln>
                      </wps:spPr>
                      <wps:txbx>
                        <w:txbxContent>
                          <w:p w14:paraId="4AA515F6" w14:textId="77777777" w:rsidR="00DC1295" w:rsidRDefault="00DC129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2489200</wp:posOffset>
                </wp:positionH>
                <wp:positionV relativeFrom="paragraph">
                  <wp:posOffset>3873500</wp:posOffset>
                </wp:positionV>
                <wp:extent cx="262790" cy="292000"/>
                <wp:effectExtent b="0" l="0" r="0" t="0"/>
                <wp:wrapNone/>
                <wp:docPr id="10"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262790" cy="292000"/>
                        </a:xfrm>
                        <a:prstGeom prst="rect"/>
                        <a:ln/>
                      </pic:spPr>
                    </pic:pic>
                  </a:graphicData>
                </a:graphic>
              </wp:anchor>
            </w:drawing>
          </mc:Fallback>
        </mc:AlternateContent>
      </w:r>
    </w:p>
    <w:p w14:paraId="23320BE0" w14:textId="77777777" w:rsidR="00DC1295" w:rsidRDefault="00DC1295">
      <w:pPr>
        <w:rPr>
          <w:rFonts w:ascii="Arial" w:eastAsia="Arial" w:hAnsi="Arial" w:cs="Arial"/>
          <w:b/>
          <w:sz w:val="20"/>
          <w:szCs w:val="20"/>
        </w:rPr>
      </w:pPr>
    </w:p>
    <w:p w14:paraId="51FE4E91" w14:textId="77777777" w:rsidR="00DC1295" w:rsidRDefault="00DC1295">
      <w:pPr>
        <w:rPr>
          <w:rFonts w:ascii="Arial" w:eastAsia="Arial" w:hAnsi="Arial" w:cs="Arial"/>
          <w:b/>
          <w:sz w:val="20"/>
          <w:szCs w:val="20"/>
        </w:rPr>
      </w:pPr>
    </w:p>
    <w:p w14:paraId="2418E160" w14:textId="77777777" w:rsidR="00DC1295" w:rsidRDefault="00DC1295">
      <w:pPr>
        <w:rPr>
          <w:rFonts w:ascii="Arial" w:eastAsia="Arial" w:hAnsi="Arial" w:cs="Arial"/>
          <w:b/>
          <w:sz w:val="20"/>
          <w:szCs w:val="20"/>
        </w:rPr>
      </w:pPr>
    </w:p>
    <w:p w14:paraId="698AEB67" w14:textId="77777777" w:rsidR="00DC1295" w:rsidRDefault="00DC1295">
      <w:pPr>
        <w:rPr>
          <w:rFonts w:ascii="Arial" w:eastAsia="Arial" w:hAnsi="Arial" w:cs="Arial"/>
          <w:b/>
          <w:sz w:val="20"/>
          <w:szCs w:val="20"/>
        </w:rPr>
      </w:pPr>
    </w:p>
    <w:p w14:paraId="1175ABDB" w14:textId="77777777" w:rsidR="00DC1295" w:rsidRDefault="00DC1295">
      <w:pPr>
        <w:rPr>
          <w:rFonts w:ascii="Arial" w:eastAsia="Arial" w:hAnsi="Arial" w:cs="Arial"/>
          <w:b/>
          <w:sz w:val="20"/>
          <w:szCs w:val="20"/>
        </w:rPr>
      </w:pPr>
    </w:p>
    <w:p w14:paraId="6A4EB770" w14:textId="77777777" w:rsidR="00DC1295" w:rsidRDefault="00DC1295">
      <w:pPr>
        <w:rPr>
          <w:rFonts w:ascii="Arial" w:eastAsia="Arial" w:hAnsi="Arial" w:cs="Arial"/>
          <w:b/>
          <w:sz w:val="20"/>
          <w:szCs w:val="20"/>
        </w:rPr>
      </w:pPr>
    </w:p>
    <w:p w14:paraId="68E03D72" w14:textId="77777777" w:rsidR="00DC1295" w:rsidRDefault="00DC1295">
      <w:pPr>
        <w:rPr>
          <w:rFonts w:ascii="Arial" w:eastAsia="Arial" w:hAnsi="Arial" w:cs="Arial"/>
          <w:b/>
          <w:sz w:val="20"/>
          <w:szCs w:val="20"/>
        </w:rPr>
      </w:pPr>
    </w:p>
    <w:p w14:paraId="7DA21E9E" w14:textId="77777777" w:rsidR="00DC1295" w:rsidRDefault="00DC1295">
      <w:pPr>
        <w:rPr>
          <w:rFonts w:ascii="Arial" w:eastAsia="Arial" w:hAnsi="Arial" w:cs="Arial"/>
          <w:b/>
          <w:sz w:val="20"/>
          <w:szCs w:val="20"/>
        </w:rPr>
      </w:pPr>
    </w:p>
    <w:p w14:paraId="4F7D9C4B" w14:textId="77777777" w:rsidR="00DC1295" w:rsidRDefault="00DC1295">
      <w:pPr>
        <w:rPr>
          <w:rFonts w:ascii="Arial" w:eastAsia="Arial" w:hAnsi="Arial" w:cs="Arial"/>
          <w:b/>
          <w:sz w:val="20"/>
          <w:szCs w:val="20"/>
        </w:rPr>
      </w:pPr>
    </w:p>
    <w:p w14:paraId="20E1BDB1" w14:textId="77777777" w:rsidR="00DC1295" w:rsidRDefault="00DC1295">
      <w:pPr>
        <w:rPr>
          <w:rFonts w:ascii="Arial" w:eastAsia="Arial" w:hAnsi="Arial" w:cs="Arial"/>
          <w:b/>
          <w:sz w:val="20"/>
          <w:szCs w:val="20"/>
        </w:rPr>
      </w:pPr>
    </w:p>
    <w:p w14:paraId="0F36FDFB" w14:textId="77777777" w:rsidR="00DC1295" w:rsidRDefault="00DC1295">
      <w:pPr>
        <w:rPr>
          <w:rFonts w:ascii="Arial" w:eastAsia="Arial" w:hAnsi="Arial" w:cs="Arial"/>
          <w:b/>
          <w:sz w:val="20"/>
          <w:szCs w:val="20"/>
        </w:rPr>
      </w:pPr>
    </w:p>
    <w:p w14:paraId="4BBA2F05" w14:textId="77777777" w:rsidR="00DC1295" w:rsidRDefault="00DC1295">
      <w:pPr>
        <w:rPr>
          <w:rFonts w:ascii="Arial" w:eastAsia="Arial" w:hAnsi="Arial" w:cs="Arial"/>
          <w:b/>
          <w:sz w:val="20"/>
          <w:szCs w:val="20"/>
        </w:rPr>
      </w:pPr>
    </w:p>
    <w:p w14:paraId="40AAAC6E" w14:textId="77777777" w:rsidR="00DC1295" w:rsidRDefault="00DC1295">
      <w:pPr>
        <w:rPr>
          <w:rFonts w:ascii="Arial" w:eastAsia="Arial" w:hAnsi="Arial" w:cs="Arial"/>
          <w:b/>
          <w:sz w:val="20"/>
          <w:szCs w:val="20"/>
        </w:rPr>
      </w:pPr>
    </w:p>
    <w:p w14:paraId="6EA5DB17" w14:textId="77777777" w:rsidR="00DC1295" w:rsidRDefault="00DC1295">
      <w:pPr>
        <w:rPr>
          <w:rFonts w:ascii="Arial" w:eastAsia="Arial" w:hAnsi="Arial" w:cs="Arial"/>
          <w:b/>
          <w:sz w:val="20"/>
          <w:szCs w:val="20"/>
        </w:rPr>
      </w:pPr>
    </w:p>
    <w:p w14:paraId="6BD2E71B" w14:textId="77777777" w:rsidR="00DC1295" w:rsidRDefault="00DC1295">
      <w:pPr>
        <w:rPr>
          <w:rFonts w:ascii="Arial" w:eastAsia="Arial" w:hAnsi="Arial" w:cs="Arial"/>
          <w:b/>
          <w:sz w:val="20"/>
          <w:szCs w:val="20"/>
        </w:rPr>
      </w:pPr>
    </w:p>
    <w:p w14:paraId="14F8EA6D" w14:textId="77777777" w:rsidR="00DC1295" w:rsidRDefault="00DC1295">
      <w:pPr>
        <w:rPr>
          <w:rFonts w:ascii="Arial" w:eastAsia="Arial" w:hAnsi="Arial" w:cs="Arial"/>
          <w:b/>
          <w:sz w:val="20"/>
          <w:szCs w:val="20"/>
        </w:rPr>
      </w:pPr>
    </w:p>
    <w:p w14:paraId="2C461591" w14:textId="77777777" w:rsidR="00DC1295" w:rsidRDefault="00DC1295">
      <w:pPr>
        <w:rPr>
          <w:rFonts w:ascii="Arial" w:eastAsia="Arial" w:hAnsi="Arial" w:cs="Arial"/>
          <w:b/>
          <w:sz w:val="20"/>
          <w:szCs w:val="20"/>
        </w:rPr>
      </w:pPr>
    </w:p>
    <w:p w14:paraId="17B61779" w14:textId="77777777" w:rsidR="00DC1295" w:rsidRDefault="00DC1295"/>
    <w:p w14:paraId="3FAF2E7C" w14:textId="77777777" w:rsidR="00DC1295" w:rsidRDefault="00DC1295"/>
    <w:p w14:paraId="3E97275C" w14:textId="77777777" w:rsidR="00DC1295" w:rsidRDefault="00977891">
      <w:r>
        <w:rPr>
          <w:noProof/>
        </w:rPr>
        <mc:AlternateContent>
          <mc:Choice Requires="wpg">
            <w:drawing>
              <wp:anchor distT="0" distB="0" distL="0" distR="0" simplePos="0" relativeHeight="251663360" behindDoc="0" locked="0" layoutInCell="1" hidden="0" allowOverlap="1" wp14:anchorId="25F26AA1" wp14:editId="5FF17B5A">
                <wp:simplePos x="0" y="0"/>
                <wp:positionH relativeFrom="column">
                  <wp:posOffset>-241299</wp:posOffset>
                </wp:positionH>
                <wp:positionV relativeFrom="paragraph">
                  <wp:posOffset>165100</wp:posOffset>
                </wp:positionV>
                <wp:extent cx="6076315" cy="4163695"/>
                <wp:effectExtent l="0" t="0" r="0" b="0"/>
                <wp:wrapNone/>
                <wp:docPr id="9" name="Group 9"/>
                <wp:cNvGraphicFramePr/>
                <a:graphic xmlns:a="http://schemas.openxmlformats.org/drawingml/2006/main">
                  <a:graphicData uri="http://schemas.microsoft.com/office/word/2010/wordprocessingGroup">
                    <wpg:wgp>
                      <wpg:cNvGrpSpPr/>
                      <wpg:grpSpPr>
                        <a:xfrm>
                          <a:off x="0" y="0"/>
                          <a:ext cx="6076315" cy="4163695"/>
                          <a:chOff x="2307843" y="1698153"/>
                          <a:chExt cx="6076300" cy="4163675"/>
                        </a:xfrm>
                      </wpg:grpSpPr>
                      <wpg:grpSp>
                        <wpg:cNvPr id="1" name="Group 1"/>
                        <wpg:cNvGrpSpPr/>
                        <wpg:grpSpPr>
                          <a:xfrm>
                            <a:off x="2307843" y="1698153"/>
                            <a:ext cx="6076300" cy="4163675"/>
                            <a:chOff x="0" y="0"/>
                            <a:chExt cx="6076300" cy="4163675"/>
                          </a:xfrm>
                        </wpg:grpSpPr>
                        <wps:wsp>
                          <wps:cNvPr id="2" name="Rectangle 2"/>
                          <wps:cNvSpPr/>
                          <wps:spPr>
                            <a:xfrm>
                              <a:off x="0" y="0"/>
                              <a:ext cx="6076300" cy="4163675"/>
                            </a:xfrm>
                            <a:prstGeom prst="rect">
                              <a:avLst/>
                            </a:prstGeom>
                            <a:noFill/>
                            <a:ln>
                              <a:noFill/>
                            </a:ln>
                          </wps:spPr>
                          <wps:txbx>
                            <w:txbxContent>
                              <w:p w14:paraId="054FD0B7" w14:textId="77777777" w:rsidR="00DC1295" w:rsidRDefault="00DC1295">
                                <w:pPr>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pic:cNvPicPr preferRelativeResize="0"/>
                          </pic:nvPicPr>
                          <pic:blipFill rotWithShape="1">
                            <a:blip r:embed="rId13">
                              <a:alphaModFix/>
                            </a:blip>
                            <a:srcRect/>
                            <a:stretch/>
                          </pic:blipFill>
                          <pic:spPr>
                            <a:xfrm>
                              <a:off x="0" y="0"/>
                              <a:ext cx="1168560" cy="177120"/>
                            </a:xfrm>
                            <a:prstGeom prst="rect">
                              <a:avLst/>
                            </a:prstGeom>
                            <a:noFill/>
                            <a:ln>
                              <a:noFill/>
                            </a:ln>
                          </pic:spPr>
                        </pic:pic>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0" distR="0" hidden="0" layoutInCell="1" locked="0" relativeHeight="0" simplePos="0">
                <wp:simplePos x="0" y="0"/>
                <wp:positionH relativeFrom="column">
                  <wp:posOffset>-241299</wp:posOffset>
                </wp:positionH>
                <wp:positionV relativeFrom="paragraph">
                  <wp:posOffset>165100</wp:posOffset>
                </wp:positionV>
                <wp:extent cx="6076315" cy="4163695"/>
                <wp:effectExtent b="0" l="0" r="0" t="0"/>
                <wp:wrapNone/>
                <wp:docPr id="9" name="image5.png"/>
                <a:graphic>
                  <a:graphicData uri="http://schemas.openxmlformats.org/drawingml/2006/picture">
                    <pic:pic>
                      <pic:nvPicPr>
                        <pic:cNvPr id="0" name="image5.png"/>
                        <pic:cNvPicPr preferRelativeResize="0"/>
                      </pic:nvPicPr>
                      <pic:blipFill>
                        <a:blip r:embed="rId14"/>
                        <a:srcRect/>
                        <a:stretch>
                          <a:fillRect/>
                        </a:stretch>
                      </pic:blipFill>
                      <pic:spPr>
                        <a:xfrm>
                          <a:off x="0" y="0"/>
                          <a:ext cx="6076315" cy="4163695"/>
                        </a:xfrm>
                        <a:prstGeom prst="rect"/>
                        <a:ln/>
                      </pic:spPr>
                    </pic:pic>
                  </a:graphicData>
                </a:graphic>
              </wp:anchor>
            </w:drawing>
          </mc:Fallback>
        </mc:AlternateContent>
      </w:r>
    </w:p>
    <w:p w14:paraId="47CDC5DE" w14:textId="77777777" w:rsidR="00DC1295" w:rsidRDefault="00DC1295"/>
    <w:p w14:paraId="3C2CC07F" w14:textId="77777777" w:rsidR="00DC1295" w:rsidRDefault="00DC1295"/>
    <w:p w14:paraId="1BE1A2BA" w14:textId="77777777" w:rsidR="00DC1295" w:rsidRDefault="00DC1295"/>
    <w:p w14:paraId="3A2C8433" w14:textId="77777777" w:rsidR="00DC1295" w:rsidRDefault="00DC1295"/>
    <w:p w14:paraId="58D86F11" w14:textId="77777777" w:rsidR="00DC1295" w:rsidRDefault="00DC1295"/>
    <w:p w14:paraId="0229D784" w14:textId="77777777" w:rsidR="00DC1295" w:rsidRDefault="00DC1295"/>
    <w:p w14:paraId="1A3D8B7E" w14:textId="77777777" w:rsidR="00DC1295" w:rsidRDefault="00DC1295"/>
    <w:p w14:paraId="461D1E84" w14:textId="77777777" w:rsidR="00DC1295" w:rsidRDefault="00DC1295"/>
    <w:p w14:paraId="66289235" w14:textId="77777777" w:rsidR="00DC1295" w:rsidRDefault="00DC1295"/>
    <w:p w14:paraId="3D7DD671" w14:textId="77777777" w:rsidR="00DC1295" w:rsidRDefault="00DC1295"/>
    <w:p w14:paraId="1F988911" w14:textId="77777777" w:rsidR="00DC1295" w:rsidRDefault="00DC1295"/>
    <w:p w14:paraId="39CF06C0" w14:textId="77777777" w:rsidR="00DC1295" w:rsidRDefault="00DC1295"/>
    <w:p w14:paraId="5642C8B8" w14:textId="77777777" w:rsidR="00DC1295" w:rsidRDefault="00DC1295"/>
    <w:p w14:paraId="5B1B13EF" w14:textId="77777777" w:rsidR="00DC1295" w:rsidRDefault="00DC1295"/>
    <w:p w14:paraId="38D8908A" w14:textId="77777777" w:rsidR="00DC1295" w:rsidRDefault="00DC1295">
      <w:pPr>
        <w:rPr>
          <w:rFonts w:ascii="Arial" w:eastAsia="Arial" w:hAnsi="Arial" w:cs="Arial"/>
          <w:b/>
          <w:sz w:val="22"/>
          <w:szCs w:val="22"/>
        </w:rPr>
      </w:pPr>
    </w:p>
    <w:p w14:paraId="672DDA5E" w14:textId="77777777" w:rsidR="00DC1295" w:rsidRDefault="00DC1295">
      <w:pPr>
        <w:rPr>
          <w:rFonts w:ascii="Arial" w:eastAsia="Arial" w:hAnsi="Arial" w:cs="Arial"/>
          <w:b/>
          <w:sz w:val="22"/>
          <w:szCs w:val="22"/>
        </w:rPr>
      </w:pPr>
    </w:p>
    <w:p w14:paraId="651F38FD" w14:textId="77777777" w:rsidR="00DC1295" w:rsidRDefault="00DC1295">
      <w:pPr>
        <w:rPr>
          <w:rFonts w:ascii="Arial" w:eastAsia="Arial" w:hAnsi="Arial" w:cs="Arial"/>
          <w:b/>
          <w:sz w:val="22"/>
          <w:szCs w:val="22"/>
        </w:rPr>
      </w:pPr>
    </w:p>
    <w:p w14:paraId="79DA30E0" w14:textId="77777777" w:rsidR="00DC1295" w:rsidRDefault="00DC1295">
      <w:pPr>
        <w:spacing w:before="120" w:after="120"/>
        <w:rPr>
          <w:rFonts w:ascii="Arial" w:eastAsia="Arial" w:hAnsi="Arial" w:cs="Arial"/>
          <w:b/>
        </w:rPr>
      </w:pPr>
    </w:p>
    <w:p w14:paraId="429201F4" w14:textId="77777777" w:rsidR="00DC1295" w:rsidRDefault="00DC1295">
      <w:pPr>
        <w:spacing w:before="120" w:after="120"/>
        <w:rPr>
          <w:rFonts w:ascii="Arial" w:eastAsia="Arial" w:hAnsi="Arial" w:cs="Arial"/>
          <w:b/>
        </w:rPr>
      </w:pPr>
    </w:p>
    <w:p w14:paraId="7661BBCA" w14:textId="77777777" w:rsidR="00DC1295" w:rsidRDefault="00DC1295">
      <w:pPr>
        <w:spacing w:before="120" w:after="120"/>
        <w:rPr>
          <w:rFonts w:ascii="Arial" w:eastAsia="Arial" w:hAnsi="Arial" w:cs="Arial"/>
          <w:b/>
        </w:rPr>
      </w:pPr>
    </w:p>
    <w:p w14:paraId="1E6E1F88" w14:textId="77777777" w:rsidR="00DC1295" w:rsidRDefault="00DC1295">
      <w:pPr>
        <w:spacing w:before="120" w:after="120"/>
        <w:rPr>
          <w:rFonts w:ascii="Arial" w:eastAsia="Arial" w:hAnsi="Arial" w:cs="Arial"/>
          <w:b/>
        </w:rPr>
      </w:pPr>
    </w:p>
    <w:p w14:paraId="01BC74A9" w14:textId="77777777" w:rsidR="00DC1295" w:rsidRDefault="00DC1295">
      <w:pPr>
        <w:spacing w:before="120" w:after="120"/>
        <w:rPr>
          <w:rFonts w:ascii="Arial" w:eastAsia="Arial" w:hAnsi="Arial" w:cs="Arial"/>
          <w:b/>
        </w:rPr>
      </w:pPr>
    </w:p>
    <w:p w14:paraId="35D4191D" w14:textId="77777777" w:rsidR="00DC1295" w:rsidRDefault="00DC1295">
      <w:pPr>
        <w:spacing w:before="120" w:after="120"/>
        <w:rPr>
          <w:rFonts w:ascii="Arial" w:eastAsia="Arial" w:hAnsi="Arial" w:cs="Arial"/>
          <w:b/>
        </w:rPr>
      </w:pPr>
    </w:p>
    <w:p w14:paraId="24D43D57" w14:textId="77777777" w:rsidR="00DC1295" w:rsidRDefault="00977891">
      <w:pPr>
        <w:spacing w:before="120" w:after="120"/>
      </w:pPr>
      <w:r>
        <w:rPr>
          <w:rFonts w:ascii="Arial" w:eastAsia="Arial" w:hAnsi="Arial" w:cs="Arial"/>
          <w:b/>
        </w:rPr>
        <w:t>References</w:t>
      </w:r>
    </w:p>
    <w:p w14:paraId="7D41E7E0" w14:textId="77777777" w:rsidR="00DC1295" w:rsidRDefault="00DC1295">
      <w:pPr>
        <w:spacing w:before="120" w:after="120"/>
        <w:rPr>
          <w:rFonts w:ascii="Arial" w:eastAsia="Arial" w:hAnsi="Arial" w:cs="Arial"/>
          <w:b/>
        </w:rPr>
      </w:pPr>
    </w:p>
    <w:p w14:paraId="64698232" w14:textId="77777777" w:rsidR="00DC1295" w:rsidRDefault="00977891">
      <w:pPr>
        <w:pBdr>
          <w:top w:val="nil"/>
          <w:left w:val="nil"/>
          <w:bottom w:val="nil"/>
          <w:right w:val="nil"/>
          <w:between w:val="nil"/>
        </w:pBdr>
        <w:ind w:left="567" w:hanging="567"/>
        <w:rPr>
          <w:rFonts w:ascii="Times" w:eastAsia="Times" w:hAnsi="Times" w:cs="Times"/>
          <w:color w:val="000000"/>
        </w:rPr>
      </w:pPr>
      <w:r>
        <w:rPr>
          <w:color w:val="000000"/>
        </w:rPr>
        <w:t>1:  Altschul SF, Gish W, Miller W, Myers EW, Lipman DJ. Basic local alignment search tool. J Mol Biol 1990;215:403e10.</w:t>
      </w:r>
    </w:p>
    <w:p w14:paraId="3EB4A1E3" w14:textId="77777777" w:rsidR="00DC1295" w:rsidRDefault="00DC1295">
      <w:pPr>
        <w:pBdr>
          <w:top w:val="nil"/>
          <w:left w:val="nil"/>
          <w:bottom w:val="nil"/>
          <w:right w:val="nil"/>
          <w:between w:val="nil"/>
        </w:pBdr>
        <w:ind w:left="567" w:hanging="567"/>
        <w:rPr>
          <w:color w:val="000000"/>
        </w:rPr>
      </w:pPr>
    </w:p>
    <w:p w14:paraId="32B3669F" w14:textId="77777777" w:rsidR="00DC1295" w:rsidRDefault="00977891">
      <w:pPr>
        <w:pBdr>
          <w:top w:val="nil"/>
          <w:left w:val="nil"/>
          <w:bottom w:val="nil"/>
          <w:right w:val="nil"/>
          <w:between w:val="nil"/>
        </w:pBdr>
        <w:ind w:left="567" w:hanging="567"/>
        <w:rPr>
          <w:rFonts w:ascii="Times" w:eastAsia="Times" w:hAnsi="Times" w:cs="Times"/>
          <w:color w:val="000000"/>
        </w:rPr>
      </w:pPr>
      <w:r>
        <w:rPr>
          <w:color w:val="000000"/>
        </w:rPr>
        <w:t xml:space="preserve">2: Sayers EW, Agarwala R, Bolton EE, et al. Database resources of the National Center for Biotechnology Information. </w:t>
      </w:r>
      <w:r>
        <w:rPr>
          <w:i/>
          <w:color w:val="000000"/>
        </w:rPr>
        <w:t>Nucleic Acids Res</w:t>
      </w:r>
      <w:r>
        <w:rPr>
          <w:color w:val="000000"/>
        </w:rPr>
        <w:t xml:space="preserve">. 2019;47(D1):D23-D28. doi:10.1093/nar/gky1069Sayers EW, Agarwala R, Bolton EE, et al. Database resources of the National Center for Biotechnology Information. </w:t>
      </w:r>
      <w:r>
        <w:rPr>
          <w:i/>
          <w:color w:val="000000"/>
        </w:rPr>
        <w:t>Nucleic Acids Res</w:t>
      </w:r>
      <w:r>
        <w:rPr>
          <w:color w:val="000000"/>
        </w:rPr>
        <w:t>. 2019;47(D1):D23-D28. doi:10.1093/nar/gky1069</w:t>
      </w:r>
    </w:p>
    <w:p w14:paraId="27749D7B" w14:textId="77777777" w:rsidR="00DC1295" w:rsidRDefault="00DC1295">
      <w:pPr>
        <w:pBdr>
          <w:top w:val="nil"/>
          <w:left w:val="nil"/>
          <w:bottom w:val="nil"/>
          <w:right w:val="nil"/>
          <w:between w:val="nil"/>
        </w:pBdr>
        <w:ind w:left="567" w:hanging="567"/>
        <w:rPr>
          <w:color w:val="000000"/>
        </w:rPr>
      </w:pPr>
    </w:p>
    <w:p w14:paraId="3FCA489B" w14:textId="77777777" w:rsidR="00DC1295" w:rsidRDefault="00977891">
      <w:pPr>
        <w:pBdr>
          <w:top w:val="nil"/>
          <w:left w:val="nil"/>
          <w:bottom w:val="nil"/>
          <w:right w:val="nil"/>
          <w:between w:val="nil"/>
        </w:pBdr>
        <w:ind w:left="567" w:hanging="567"/>
        <w:rPr>
          <w:rFonts w:ascii="Times" w:eastAsia="Times" w:hAnsi="Times" w:cs="Times"/>
          <w:color w:val="000000"/>
        </w:rPr>
      </w:pPr>
      <w:r>
        <w:rPr>
          <w:color w:val="000000"/>
        </w:rPr>
        <w:t>3: Chan PP, Lowe TM. tRNAscan-SE: Searching for tRNA Genes in Genomic Sequences. Methods Mol Biol. 2019;1962:1-14. doi: 10.1007/978-1-4939-9173-0_1. PMID:     31020551.</w:t>
      </w:r>
    </w:p>
    <w:p w14:paraId="4E5042BE" w14:textId="77777777" w:rsidR="00DC1295" w:rsidRDefault="00DC1295">
      <w:pPr>
        <w:pBdr>
          <w:top w:val="nil"/>
          <w:left w:val="nil"/>
          <w:bottom w:val="nil"/>
          <w:right w:val="nil"/>
          <w:between w:val="nil"/>
        </w:pBdr>
        <w:ind w:left="567" w:hanging="567"/>
        <w:rPr>
          <w:color w:val="000000"/>
        </w:rPr>
      </w:pPr>
    </w:p>
    <w:p w14:paraId="781D4418" w14:textId="77777777" w:rsidR="00DC1295" w:rsidRDefault="00977891">
      <w:pPr>
        <w:pBdr>
          <w:top w:val="nil"/>
          <w:left w:val="nil"/>
          <w:bottom w:val="nil"/>
          <w:right w:val="nil"/>
          <w:between w:val="nil"/>
        </w:pBdr>
        <w:ind w:left="567" w:hanging="567"/>
        <w:rPr>
          <w:rFonts w:ascii="Times" w:eastAsia="Times" w:hAnsi="Times" w:cs="Times"/>
          <w:color w:val="000000"/>
        </w:rPr>
      </w:pPr>
      <w:r>
        <w:rPr>
          <w:color w:val="000000"/>
        </w:rPr>
        <w:t xml:space="preserve">4: Moraru C (2020) VIRIDIC (Virus Intergenomic Distance Calculator) computes pairwise intergenomic distances/similarities amongst phage genomes. </w:t>
      </w:r>
      <w:hyperlink r:id="rId15">
        <w:r>
          <w:rPr>
            <w:color w:val="0000FF"/>
            <w:u w:val="single"/>
          </w:rPr>
          <w:t>http://kronos.icbm.uni-oldenburg.de/viridic/</w:t>
        </w:r>
      </w:hyperlink>
      <w:r>
        <w:rPr>
          <w:color w:val="000000"/>
        </w:rPr>
        <w:t xml:space="preserve"> </w:t>
      </w:r>
      <w:r>
        <w:rPr>
          <w:color w:val="000000"/>
        </w:rPr>
        <w:br/>
      </w:r>
    </w:p>
    <w:p w14:paraId="15CA3B17" w14:textId="77777777" w:rsidR="00DC1295" w:rsidRDefault="00977891">
      <w:pPr>
        <w:pBdr>
          <w:top w:val="nil"/>
          <w:left w:val="nil"/>
          <w:bottom w:val="nil"/>
          <w:right w:val="nil"/>
          <w:between w:val="nil"/>
        </w:pBdr>
        <w:ind w:left="567" w:hanging="567"/>
        <w:rPr>
          <w:rFonts w:ascii="Times" w:eastAsia="Times" w:hAnsi="Times" w:cs="Times"/>
          <w:color w:val="000000"/>
        </w:rPr>
      </w:pPr>
      <w:r>
        <w:rPr>
          <w:color w:val="000000"/>
        </w:rPr>
        <w:lastRenderedPageBreak/>
        <w:t>5: Turner D, Reynolds D, Seto D, Mahadevan P. CoreGenes3.5: a webserver for the determination of core genes from sets of viral and small bacterial genomes. BMC Res Notes. 2013;6:140. doi: 10.1186/1756-0500-6-140.  PMID:   23566564.</w:t>
      </w:r>
    </w:p>
    <w:p w14:paraId="0A49AA44" w14:textId="77777777" w:rsidR="00DC1295" w:rsidRDefault="00DC1295">
      <w:pPr>
        <w:pBdr>
          <w:top w:val="nil"/>
          <w:left w:val="nil"/>
          <w:bottom w:val="nil"/>
          <w:right w:val="nil"/>
          <w:between w:val="nil"/>
        </w:pBdr>
        <w:ind w:left="567" w:hanging="567"/>
        <w:rPr>
          <w:color w:val="000000"/>
        </w:rPr>
      </w:pPr>
    </w:p>
    <w:p w14:paraId="47159C10" w14:textId="77777777" w:rsidR="00DC1295" w:rsidRDefault="00977891">
      <w:pPr>
        <w:pBdr>
          <w:top w:val="nil"/>
          <w:left w:val="nil"/>
          <w:bottom w:val="nil"/>
          <w:right w:val="nil"/>
          <w:between w:val="nil"/>
        </w:pBdr>
        <w:ind w:left="567" w:hanging="567"/>
        <w:rPr>
          <w:color w:val="000000"/>
        </w:rPr>
      </w:pPr>
      <w:r>
        <w:rPr>
          <w:color w:val="000000"/>
        </w:rPr>
        <w:t>6: Contreras-Moreira, B., &amp; Vinuesa, P. (2013). GET_HOMOLOGUES, a versatile software package for scalable and robust microbial pangenome analysis. Appl. Environ. Microbiol., 79(24), 7696-7701</w:t>
      </w:r>
    </w:p>
    <w:p w14:paraId="2310F5D8" w14:textId="77777777" w:rsidR="00DC1295" w:rsidRDefault="00DC1295">
      <w:pPr>
        <w:pBdr>
          <w:top w:val="nil"/>
          <w:left w:val="nil"/>
          <w:bottom w:val="nil"/>
          <w:right w:val="nil"/>
          <w:between w:val="nil"/>
        </w:pBdr>
        <w:ind w:left="567" w:hanging="567"/>
        <w:rPr>
          <w:color w:val="000000"/>
        </w:rPr>
      </w:pPr>
    </w:p>
    <w:p w14:paraId="5CB425C0" w14:textId="77777777" w:rsidR="00DC1295" w:rsidRDefault="00977891">
      <w:pPr>
        <w:pBdr>
          <w:top w:val="nil"/>
          <w:left w:val="nil"/>
          <w:bottom w:val="nil"/>
          <w:right w:val="nil"/>
          <w:between w:val="nil"/>
        </w:pBdr>
        <w:ind w:left="567" w:hanging="567"/>
        <w:rPr>
          <w:rFonts w:ascii="Times" w:eastAsia="Times" w:hAnsi="Times" w:cs="Times"/>
          <w:color w:val="000000"/>
        </w:rPr>
      </w:pPr>
      <w:r>
        <w:rPr>
          <w:color w:val="000000"/>
        </w:rPr>
        <w:t>7: Nishimura Y, Yoshida T, Kuronishi M, Uehara H, Ogata H, Goto S. ViPTree: the viral proteomic tree server. Bioinformatics. 2017; 33(15):2379-2380. doi:10.1093/bioinformatics/btx157. PubMed PMID: 28379287.</w:t>
      </w:r>
    </w:p>
    <w:p w14:paraId="06191F21" w14:textId="77777777" w:rsidR="00DC1295" w:rsidRDefault="00DC1295">
      <w:pPr>
        <w:pBdr>
          <w:top w:val="nil"/>
          <w:left w:val="nil"/>
          <w:bottom w:val="nil"/>
          <w:right w:val="nil"/>
          <w:between w:val="nil"/>
        </w:pBdr>
        <w:ind w:left="567" w:hanging="567"/>
        <w:rPr>
          <w:color w:val="000000"/>
        </w:rPr>
      </w:pPr>
    </w:p>
    <w:p w14:paraId="0CCBE971" w14:textId="77777777" w:rsidR="00DC1295" w:rsidRDefault="00977891">
      <w:pPr>
        <w:pBdr>
          <w:top w:val="nil"/>
          <w:left w:val="nil"/>
          <w:bottom w:val="nil"/>
          <w:right w:val="nil"/>
          <w:between w:val="nil"/>
        </w:pBdr>
        <w:ind w:left="567" w:hanging="567"/>
        <w:rPr>
          <w:rFonts w:ascii="Times" w:eastAsia="Times" w:hAnsi="Times" w:cs="Times"/>
          <w:color w:val="000000"/>
        </w:rPr>
      </w:pPr>
      <w:r>
        <w:rPr>
          <w:color w:val="000000"/>
        </w:rPr>
        <w:t>8: Rohwer F, Edwards R. The Phage Proteomic Tree: a genome-based taxonomy for phage. J Bacteriol. 2002 Aug;184(16):4529-35. PubMed PMID: 12142423</w:t>
      </w:r>
    </w:p>
    <w:p w14:paraId="05C74D3A" w14:textId="77777777" w:rsidR="00DC1295" w:rsidRDefault="00DC1295">
      <w:pPr>
        <w:pBdr>
          <w:top w:val="nil"/>
          <w:left w:val="nil"/>
          <w:bottom w:val="nil"/>
          <w:right w:val="nil"/>
          <w:between w:val="nil"/>
        </w:pBdr>
        <w:ind w:left="567" w:hanging="567"/>
        <w:rPr>
          <w:color w:val="000000"/>
        </w:rPr>
      </w:pPr>
    </w:p>
    <w:p w14:paraId="49EA4DE3" w14:textId="77777777" w:rsidR="00DC1295" w:rsidRDefault="00DC1295">
      <w:pPr>
        <w:pBdr>
          <w:top w:val="nil"/>
          <w:left w:val="nil"/>
          <w:bottom w:val="nil"/>
          <w:right w:val="nil"/>
          <w:between w:val="nil"/>
        </w:pBdr>
        <w:ind w:left="567" w:hanging="567"/>
        <w:rPr>
          <w:color w:val="000000"/>
        </w:rPr>
      </w:pPr>
    </w:p>
    <w:p w14:paraId="3CBAD090" w14:textId="77777777" w:rsidR="00DC1295" w:rsidRDefault="00DC1295">
      <w:pPr>
        <w:pBdr>
          <w:top w:val="nil"/>
          <w:left w:val="nil"/>
          <w:bottom w:val="nil"/>
          <w:right w:val="nil"/>
          <w:between w:val="nil"/>
        </w:pBdr>
        <w:ind w:left="567" w:hanging="567"/>
        <w:rPr>
          <w:color w:val="000000"/>
        </w:rPr>
      </w:pPr>
    </w:p>
    <w:p w14:paraId="65DFE8A5" w14:textId="77777777" w:rsidR="00DC1295" w:rsidRDefault="00DC1295">
      <w:pPr>
        <w:pBdr>
          <w:top w:val="nil"/>
          <w:left w:val="nil"/>
          <w:bottom w:val="nil"/>
          <w:right w:val="nil"/>
          <w:between w:val="nil"/>
        </w:pBdr>
        <w:ind w:left="567" w:hanging="567"/>
        <w:rPr>
          <w:color w:val="000000"/>
        </w:rPr>
      </w:pPr>
    </w:p>
    <w:p w14:paraId="59ECF4F4" w14:textId="77777777" w:rsidR="00DC1295" w:rsidRDefault="00DC1295">
      <w:pPr>
        <w:spacing w:before="120" w:after="120"/>
      </w:pPr>
    </w:p>
    <w:p w14:paraId="727E2DDF" w14:textId="77777777" w:rsidR="00DC1295" w:rsidRDefault="00DC1295">
      <w:pPr>
        <w:pBdr>
          <w:top w:val="nil"/>
          <w:left w:val="nil"/>
          <w:bottom w:val="nil"/>
          <w:right w:val="nil"/>
          <w:between w:val="nil"/>
        </w:pBdr>
        <w:spacing w:before="120" w:after="120"/>
        <w:rPr>
          <w:rFonts w:ascii="Arial" w:eastAsia="Arial" w:hAnsi="Arial" w:cs="Arial"/>
          <w:b/>
          <w:color w:val="000000"/>
        </w:rPr>
      </w:pPr>
    </w:p>
    <w:sectPr w:rsidR="00DC1295">
      <w:headerReference w:type="default" r:id="rId16"/>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6E39F" w14:textId="77777777" w:rsidR="000B33E1" w:rsidRDefault="000B33E1">
      <w:r>
        <w:separator/>
      </w:r>
    </w:p>
  </w:endnote>
  <w:endnote w:type="continuationSeparator" w:id="0">
    <w:p w14:paraId="39C357E1" w14:textId="77777777" w:rsidR="000B33E1" w:rsidRDefault="000B3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auto"/>
    <w:pitch w:val="default"/>
  </w:font>
  <w:font w:name="DejaVu Sans">
    <w:altName w:val="Verdana"/>
    <w:panose1 w:val="020B0604020202020204"/>
    <w:charset w:val="00"/>
    <w:family w:val="roman"/>
    <w:notTrueType/>
    <w:pitch w:val="default"/>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0EC92" w14:textId="77777777" w:rsidR="000B33E1" w:rsidRDefault="000B33E1">
      <w:r>
        <w:separator/>
      </w:r>
    </w:p>
  </w:footnote>
  <w:footnote w:type="continuationSeparator" w:id="0">
    <w:p w14:paraId="52B06CCA" w14:textId="77777777" w:rsidR="000B33E1" w:rsidRDefault="000B3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8782" w14:textId="77777777" w:rsidR="00DC1295" w:rsidRDefault="00977891">
    <w:pPr>
      <w:pBdr>
        <w:top w:val="nil"/>
        <w:left w:val="nil"/>
        <w:bottom w:val="nil"/>
        <w:right w:val="nil"/>
        <w:between w:val="nil"/>
      </w:pBdr>
      <w:tabs>
        <w:tab w:val="center" w:pos="4513"/>
        <w:tab w:val="right" w:pos="9026"/>
      </w:tabs>
      <w:jc w:val="right"/>
      <w:rPr>
        <w:color w:val="000000"/>
      </w:rPr>
    </w:pPr>
    <w:r>
      <w:rPr>
        <w:color w:val="000000"/>
      </w:rPr>
      <w:t>October 2020</w:t>
    </w:r>
  </w:p>
  <w:p w14:paraId="4FF78036" w14:textId="77777777" w:rsidR="00DC1295" w:rsidRDefault="00DC1295">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295"/>
    <w:rsid w:val="000B33E1"/>
    <w:rsid w:val="00135459"/>
    <w:rsid w:val="00174E4A"/>
    <w:rsid w:val="00977891"/>
    <w:rsid w:val="00DC12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3B12FAE"/>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Heading"/>
    <w:link w:val="Heading1Char"/>
    <w:uiPriority w:val="9"/>
    <w:qFormat/>
    <w:rsid w:val="00FB41B9"/>
    <w:pPr>
      <w:outlineLvl w:val="0"/>
    </w:pPr>
    <w:rPr>
      <w:rFonts w:ascii="Liberation Serif" w:eastAsia="DejaVu Sans" w:hAnsi="Liberation Serif" w:cs="DejaVu Sans"/>
      <w:b/>
      <w:bCs/>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uiPriority w:val="99"/>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Heading1Char">
    <w:name w:val="Heading 1 Char"/>
    <w:basedOn w:val="DefaultParagraphFont"/>
    <w:link w:val="Heading1"/>
    <w:rsid w:val="00FB41B9"/>
    <w:rPr>
      <w:rFonts w:ascii="Liberation Serif" w:eastAsia="DejaVu Sans" w:hAnsi="Liberation Serif" w:cs="DejaVu Sans"/>
      <w:b/>
      <w:bCs/>
      <w:sz w:val="48"/>
      <w:szCs w:val="48"/>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kronos.icbm.uni-oldenburg.de/viridic/"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www.genome.jp/viptree/" TargetMode="External"/><Relationship Id="rId14" Type="http://schemas.openxmlformats.org/officeDocument/2006/relationships/image" Target="media/image5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diWv0mbps68VjI3wJhQcxTxcDQ==">AMUW2mV5HpmLFTwOStrjwvy2iTVBo42nEeojb9x1VQw1O7rS5WlZYKB7iaXHq5KfmEyttL4WYvyOuOX0w9ixZxJIBjwnUbH09HrTrvzaIeUoDHQuXKRz8qvP0o1ukGr3+q5PDcyfbz+6VMmM5mN7oZBkdRE03iNgCk+Na17GoK8JOnHXuvH/7sE=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949</Words>
  <Characters>5411</Characters>
  <Application>Microsoft Office Word</Application>
  <DocSecurity>0</DocSecurity>
  <Lines>45</Lines>
  <Paragraphs>12</Paragraphs>
  <ScaleCrop>false</ScaleCrop>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2021-08-26T07:52:00Z</dcterms:created>
  <dcterms:modified xsi:type="dcterms:W3CDTF">2022-03-15T05:49:00Z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2022-03-15T05:49:06Z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0d8a73b1-e36a-49f9-88ea-eb754e051592</vt:lpwstr>
  </property>
  <property fmtid="{D5CDD505-2E9C-101B-9397-08002B2CF9AE}" pid="14" name="MSIP_Label_adb064b5-5911-4077-b076-dd8db707b7e6_ContentBits">
    <vt:lpwstr>0</vt:lpwstr>
  </property>
</Properties>
</file>