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B27A1" w14:textId="77777777" w:rsidR="00A97B6F" w:rsidRDefault="009A0F19">
      <w:r>
        <w:rPr>
          <w:noProof/>
        </w:rPr>
        <w:drawing>
          <wp:anchor distT="0" distB="0" distL="114300" distR="114300" simplePos="0" relativeHeight="251658240" behindDoc="0" locked="0" layoutInCell="1" hidden="0" allowOverlap="1" wp14:anchorId="68CDEFEF" wp14:editId="3F7A938B">
            <wp:simplePos x="0" y="0"/>
            <wp:positionH relativeFrom="column">
              <wp:posOffset>9526</wp:posOffset>
            </wp:positionH>
            <wp:positionV relativeFrom="paragraph">
              <wp:posOffset>55245</wp:posOffset>
            </wp:positionV>
            <wp:extent cx="1223010" cy="752475"/>
            <wp:effectExtent l="0" t="0" r="0" b="0"/>
            <wp:wrapSquare wrapText="bothSides" distT="0" distB="0" distL="114300" distR="114300"/>
            <wp:docPr id="170536398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23010" cy="752475"/>
                    </a:xfrm>
                    <a:prstGeom prst="rect">
                      <a:avLst/>
                    </a:prstGeom>
                    <a:ln/>
                  </pic:spPr>
                </pic:pic>
              </a:graphicData>
            </a:graphic>
          </wp:anchor>
        </w:drawing>
      </w:r>
    </w:p>
    <w:p w14:paraId="53AC190A" w14:textId="77777777" w:rsidR="00A97B6F" w:rsidRDefault="00A97B6F">
      <w:pPr>
        <w:rPr>
          <w:rFonts w:ascii="Arial" w:eastAsia="Arial" w:hAnsi="Arial" w:cs="Arial"/>
          <w:color w:val="0000FF"/>
          <w:sz w:val="20"/>
          <w:szCs w:val="20"/>
        </w:rPr>
      </w:pPr>
    </w:p>
    <w:p w14:paraId="0C496E66" w14:textId="77777777" w:rsidR="00A97B6F" w:rsidRDefault="00A97B6F">
      <w:pPr>
        <w:rPr>
          <w:rFonts w:ascii="Arial" w:eastAsia="Arial" w:hAnsi="Arial" w:cs="Arial"/>
          <w:color w:val="0000FF"/>
          <w:sz w:val="20"/>
          <w:szCs w:val="20"/>
        </w:rPr>
      </w:pPr>
    </w:p>
    <w:p w14:paraId="781D09C1" w14:textId="77777777" w:rsidR="00A97B6F" w:rsidRDefault="009A0F19">
      <w:pPr>
        <w:rPr>
          <w:rFonts w:ascii="Arial" w:eastAsia="Arial" w:hAnsi="Arial" w:cs="Arial"/>
          <w:sz w:val="22"/>
          <w:szCs w:val="22"/>
        </w:rPr>
      </w:pPr>
      <w:r>
        <w:rPr>
          <w:rFonts w:ascii="Arial" w:eastAsia="Arial" w:hAnsi="Arial" w:cs="Arial"/>
          <w:b/>
          <w:color w:val="000000"/>
        </w:rPr>
        <w:t>Part 1:</w:t>
      </w:r>
      <w:r>
        <w:rPr>
          <w:rFonts w:ascii="Arial" w:eastAsia="Arial" w:hAnsi="Arial" w:cs="Arial"/>
          <w:color w:val="000000"/>
          <w:sz w:val="22"/>
          <w:szCs w:val="22"/>
        </w:rPr>
        <w:t xml:space="preserve"> </w:t>
      </w:r>
      <w:r>
        <w:rPr>
          <w:rFonts w:ascii="Arial" w:eastAsia="Arial" w:hAnsi="Arial" w:cs="Arial"/>
          <w:b/>
          <w:color w:val="000000"/>
          <w:sz w:val="22"/>
          <w:szCs w:val="22"/>
          <w:u w:val="single"/>
        </w:rPr>
        <w:t>TITLE, AUTHORS, APPROVALS, etc</w:t>
      </w:r>
    </w:p>
    <w:p w14:paraId="0D0C34FE" w14:textId="77777777" w:rsidR="00A97B6F" w:rsidRDefault="00A97B6F">
      <w:pPr>
        <w:rPr>
          <w:rFonts w:ascii="Arial" w:eastAsia="Arial" w:hAnsi="Arial" w:cs="Arial"/>
          <w:sz w:val="22"/>
          <w:szCs w:val="22"/>
        </w:rPr>
      </w:pPr>
    </w:p>
    <w:tbl>
      <w:tblPr>
        <w:tblStyle w:val="a"/>
        <w:tblW w:w="9072" w:type="dxa"/>
        <w:tblInd w:w="127" w:type="dxa"/>
        <w:tblLayout w:type="fixed"/>
        <w:tblLook w:val="0400" w:firstRow="0" w:lastRow="0" w:firstColumn="0" w:lastColumn="0" w:noHBand="0" w:noVBand="1"/>
      </w:tblPr>
      <w:tblGrid>
        <w:gridCol w:w="3553"/>
        <w:gridCol w:w="4809"/>
        <w:gridCol w:w="710"/>
      </w:tblGrid>
      <w:tr w:rsidR="00A97B6F" w14:paraId="577DE768" w14:textId="77777777">
        <w:tc>
          <w:tcPr>
            <w:tcW w:w="3553" w:type="dxa"/>
            <w:tcBorders>
              <w:top w:val="single" w:sz="4" w:space="0" w:color="000000"/>
              <w:left w:val="single" w:sz="4" w:space="0" w:color="000000"/>
              <w:right w:val="single" w:sz="4" w:space="0" w:color="000000"/>
            </w:tcBorders>
            <w:shd w:val="clear" w:color="auto" w:fill="auto"/>
            <w:vAlign w:val="center"/>
          </w:tcPr>
          <w:p w14:paraId="28599BC3" w14:textId="77777777" w:rsidR="00A97B6F" w:rsidRDefault="009A0F19">
            <w:pPr>
              <w:pBdr>
                <w:top w:val="nil"/>
                <w:left w:val="nil"/>
                <w:bottom w:val="nil"/>
                <w:right w:val="nil"/>
                <w:between w:val="nil"/>
              </w:pBdr>
              <w:rPr>
                <w:rFonts w:ascii="Arial" w:eastAsia="Arial" w:hAnsi="Arial" w:cs="Arial"/>
                <w:b/>
                <w:i/>
                <w:color w:val="000000"/>
                <w:sz w:val="36"/>
                <w:szCs w:val="36"/>
              </w:rPr>
            </w:pPr>
            <w:r>
              <w:rPr>
                <w:rFonts w:ascii="Arial" w:eastAsia="Arial" w:hAnsi="Arial" w:cs="Arial"/>
                <w:b/>
                <w:color w:val="000000"/>
              </w:rPr>
              <w:t>Code assigned:</w:t>
            </w:r>
          </w:p>
        </w:tc>
        <w:tc>
          <w:tcPr>
            <w:tcW w:w="4809" w:type="dxa"/>
            <w:tcBorders>
              <w:top w:val="single" w:sz="4" w:space="0" w:color="000000"/>
              <w:left w:val="single" w:sz="4" w:space="0" w:color="000000"/>
              <w:bottom w:val="single" w:sz="4" w:space="0" w:color="000000"/>
              <w:right w:val="single" w:sz="4" w:space="0" w:color="000000"/>
            </w:tcBorders>
            <w:shd w:val="clear" w:color="auto" w:fill="auto"/>
          </w:tcPr>
          <w:p w14:paraId="314FD41E" w14:textId="5FCF4E88" w:rsidR="00A97B6F" w:rsidRDefault="00BB77EA" w:rsidP="00BB77EA">
            <w:pPr>
              <w:pBdr>
                <w:top w:val="nil"/>
                <w:left w:val="nil"/>
                <w:bottom w:val="nil"/>
                <w:right w:val="nil"/>
                <w:between w:val="nil"/>
              </w:pBdr>
              <w:jc w:val="center"/>
              <w:rPr>
                <w:rFonts w:ascii="Arial" w:eastAsia="Arial" w:hAnsi="Arial" w:cs="Arial"/>
                <w:b/>
                <w:i/>
                <w:color w:val="000000"/>
                <w:sz w:val="28"/>
                <w:szCs w:val="28"/>
              </w:rPr>
            </w:pPr>
            <w:r>
              <w:rPr>
                <w:rFonts w:ascii="Arial" w:eastAsia="Arial" w:hAnsi="Arial" w:cs="Arial"/>
                <w:b/>
                <w:i/>
                <w:color w:val="000000"/>
                <w:sz w:val="28"/>
                <w:szCs w:val="28"/>
              </w:rPr>
              <w:t>2022.002B</w:t>
            </w:r>
          </w:p>
        </w:tc>
        <w:tc>
          <w:tcPr>
            <w:tcW w:w="710" w:type="dxa"/>
            <w:tcBorders>
              <w:top w:val="single" w:sz="4" w:space="0" w:color="000000"/>
              <w:left w:val="single" w:sz="4" w:space="0" w:color="000000"/>
              <w:right w:val="single" w:sz="4" w:space="0" w:color="000000"/>
            </w:tcBorders>
            <w:shd w:val="clear" w:color="auto" w:fill="auto"/>
            <w:vAlign w:val="center"/>
          </w:tcPr>
          <w:p w14:paraId="5E8961E8" w14:textId="77777777" w:rsidR="00A97B6F" w:rsidRDefault="00A97B6F">
            <w:pPr>
              <w:pBdr>
                <w:top w:val="nil"/>
                <w:left w:val="nil"/>
                <w:bottom w:val="nil"/>
                <w:right w:val="nil"/>
                <w:between w:val="nil"/>
              </w:pBdr>
              <w:rPr>
                <w:rFonts w:ascii="Arial" w:eastAsia="Arial" w:hAnsi="Arial" w:cs="Arial"/>
                <w:color w:val="000000"/>
              </w:rPr>
            </w:pPr>
          </w:p>
        </w:tc>
      </w:tr>
      <w:tr w:rsidR="00A97B6F" w14:paraId="2EA85149" w14:textId="77777777">
        <w:tc>
          <w:tcPr>
            <w:tcW w:w="9072" w:type="dxa"/>
            <w:gridSpan w:val="3"/>
            <w:tcBorders>
              <w:left w:val="single" w:sz="4" w:space="0" w:color="000000"/>
              <w:right w:val="single" w:sz="4" w:space="0" w:color="000000"/>
            </w:tcBorders>
            <w:shd w:val="clear" w:color="auto" w:fill="auto"/>
          </w:tcPr>
          <w:p w14:paraId="142370BA" w14:textId="77777777" w:rsidR="00A97B6F" w:rsidRDefault="009A0F19">
            <w:pPr>
              <w:spacing w:before="120"/>
              <w:rPr>
                <w:rFonts w:ascii="Arial" w:eastAsia="Arial" w:hAnsi="Arial" w:cs="Arial"/>
                <w:b/>
              </w:rPr>
            </w:pPr>
            <w:r>
              <w:rPr>
                <w:rFonts w:ascii="Arial" w:eastAsia="Arial" w:hAnsi="Arial" w:cs="Arial"/>
                <w:b/>
              </w:rPr>
              <w:t>Short title:</w:t>
            </w:r>
            <w:r>
              <w:rPr>
                <w:rFonts w:ascii="Arial" w:eastAsia="Arial" w:hAnsi="Arial" w:cs="Arial"/>
              </w:rPr>
              <w:t xml:space="preserve"> Create a new class </w:t>
            </w:r>
            <w:r>
              <w:rPr>
                <w:rFonts w:ascii="Arial" w:eastAsia="Arial" w:hAnsi="Arial" w:cs="Arial"/>
                <w:i/>
              </w:rPr>
              <w:t>Ainoaviricetes</w:t>
            </w:r>
            <w:r>
              <w:rPr>
                <w:rFonts w:ascii="Arial" w:eastAsia="Arial" w:hAnsi="Arial" w:cs="Arial"/>
              </w:rPr>
              <w:t xml:space="preserve"> and a new order </w:t>
            </w:r>
            <w:r>
              <w:rPr>
                <w:rFonts w:ascii="Arial" w:eastAsia="Arial" w:hAnsi="Arial" w:cs="Arial"/>
                <w:i/>
              </w:rPr>
              <w:t xml:space="preserve">Lautamovirales </w:t>
            </w:r>
            <w:r>
              <w:rPr>
                <w:rFonts w:ascii="Arial" w:eastAsia="Arial" w:hAnsi="Arial" w:cs="Arial"/>
              </w:rPr>
              <w:t xml:space="preserve">in the phylum </w:t>
            </w:r>
            <w:r>
              <w:rPr>
                <w:rFonts w:ascii="Arial" w:eastAsia="Arial" w:hAnsi="Arial" w:cs="Arial"/>
                <w:i/>
              </w:rPr>
              <w:t>Preplasmiviricota</w:t>
            </w:r>
            <w:r>
              <w:rPr>
                <w:rFonts w:ascii="Arial" w:eastAsia="Arial" w:hAnsi="Arial" w:cs="Arial"/>
              </w:rPr>
              <w:t xml:space="preserve"> (Realm </w:t>
            </w:r>
            <w:r>
              <w:rPr>
                <w:rFonts w:ascii="Arial" w:eastAsia="Arial" w:hAnsi="Arial" w:cs="Arial"/>
                <w:i/>
              </w:rPr>
              <w:t>Varidnaviria</w:t>
            </w:r>
            <w:r>
              <w:rPr>
                <w:rFonts w:ascii="Arial" w:eastAsia="Arial" w:hAnsi="Arial" w:cs="Arial"/>
              </w:rPr>
              <w:t xml:space="preserve">, kingdom </w:t>
            </w:r>
            <w:r>
              <w:rPr>
                <w:rFonts w:ascii="Arial" w:eastAsia="Arial" w:hAnsi="Arial" w:cs="Arial"/>
                <w:i/>
              </w:rPr>
              <w:t>Bamfordvirae</w:t>
            </w:r>
            <w:r>
              <w:rPr>
                <w:rFonts w:ascii="Arial" w:eastAsia="Arial" w:hAnsi="Arial" w:cs="Arial"/>
              </w:rPr>
              <w:t>), for single-stranded DNA viruses encoding vertical double jelly roll major capsid proteins</w:t>
            </w:r>
          </w:p>
        </w:tc>
      </w:tr>
      <w:tr w:rsidR="00A97B6F" w14:paraId="4BA7A485" w14:textId="77777777">
        <w:trPr>
          <w:trHeight w:val="245"/>
        </w:trPr>
        <w:tc>
          <w:tcPr>
            <w:tcW w:w="9072" w:type="dxa"/>
            <w:gridSpan w:val="3"/>
            <w:tcBorders>
              <w:left w:val="single" w:sz="4" w:space="0" w:color="000000"/>
              <w:bottom w:val="single" w:sz="4" w:space="0" w:color="000000"/>
              <w:right w:val="single" w:sz="4" w:space="0" w:color="000000"/>
            </w:tcBorders>
            <w:shd w:val="clear" w:color="auto" w:fill="auto"/>
            <w:vAlign w:val="center"/>
          </w:tcPr>
          <w:p w14:paraId="0A431C77" w14:textId="77777777" w:rsidR="00A97B6F" w:rsidRDefault="00A97B6F">
            <w:pPr>
              <w:rPr>
                <w:rFonts w:ascii="Arial" w:eastAsia="Arial" w:hAnsi="Arial" w:cs="Arial"/>
                <w:b/>
                <w:sz w:val="22"/>
                <w:szCs w:val="22"/>
              </w:rPr>
            </w:pPr>
          </w:p>
        </w:tc>
      </w:tr>
    </w:tbl>
    <w:p w14:paraId="795F715B" w14:textId="77777777" w:rsidR="00A97B6F" w:rsidRDefault="009A0F19">
      <w:pPr>
        <w:spacing w:before="120" w:after="120"/>
        <w:rPr>
          <w:rFonts w:ascii="Arial" w:eastAsia="Arial" w:hAnsi="Arial" w:cs="Arial"/>
          <w:b/>
        </w:rPr>
      </w:pPr>
      <w:r>
        <w:rPr>
          <w:rFonts w:ascii="Arial" w:eastAsia="Arial" w:hAnsi="Arial" w:cs="Arial"/>
          <w:b/>
        </w:rPr>
        <w:t>Author(s) and email address(es)</w:t>
      </w:r>
    </w:p>
    <w:tbl>
      <w:tblPr>
        <w:tblStyle w:val="a0"/>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8"/>
        <w:gridCol w:w="4704"/>
      </w:tblGrid>
      <w:tr w:rsidR="00A97B6F" w:rsidRPr="00A15C74" w14:paraId="6739786F" w14:textId="77777777">
        <w:tc>
          <w:tcPr>
            <w:tcW w:w="4368" w:type="dxa"/>
            <w:shd w:val="clear" w:color="auto" w:fill="auto"/>
          </w:tcPr>
          <w:p w14:paraId="7A6C7F69" w14:textId="77777777" w:rsidR="00A97B6F" w:rsidRPr="007C33FC" w:rsidRDefault="009A0F19">
            <w:pPr>
              <w:rPr>
                <w:rFonts w:ascii="Arial" w:eastAsia="Arial" w:hAnsi="Arial" w:cs="Arial"/>
                <w:sz w:val="22"/>
                <w:szCs w:val="22"/>
                <w:lang w:val="fi-FI"/>
              </w:rPr>
            </w:pPr>
            <w:r w:rsidRPr="007C33FC">
              <w:rPr>
                <w:rFonts w:ascii="Arial" w:eastAsia="Arial" w:hAnsi="Arial" w:cs="Arial"/>
                <w:sz w:val="22"/>
                <w:szCs w:val="22"/>
                <w:lang w:val="fi-FI"/>
              </w:rPr>
              <w:t>Laanto E, Mäntynen S, Sundberg L-R, Poranen MM, Oksanen HM</w:t>
            </w:r>
          </w:p>
          <w:p w14:paraId="2F60D1A3" w14:textId="77777777" w:rsidR="00A97B6F" w:rsidRPr="007C33FC" w:rsidRDefault="00A97B6F">
            <w:pPr>
              <w:rPr>
                <w:sz w:val="22"/>
                <w:szCs w:val="22"/>
                <w:lang w:val="fi-FI"/>
              </w:rPr>
            </w:pPr>
          </w:p>
          <w:p w14:paraId="305722AC" w14:textId="77777777" w:rsidR="00A97B6F" w:rsidRPr="007C33FC" w:rsidRDefault="00A97B6F">
            <w:pPr>
              <w:rPr>
                <w:rFonts w:ascii="Arial" w:eastAsia="Arial" w:hAnsi="Arial" w:cs="Arial"/>
                <w:sz w:val="22"/>
                <w:szCs w:val="22"/>
                <w:lang w:val="fi-FI"/>
              </w:rPr>
            </w:pPr>
          </w:p>
        </w:tc>
        <w:tc>
          <w:tcPr>
            <w:tcW w:w="4704" w:type="dxa"/>
            <w:shd w:val="clear" w:color="auto" w:fill="auto"/>
          </w:tcPr>
          <w:p w14:paraId="19D9ECC4" w14:textId="5E8CA0D0" w:rsidR="00A97B6F" w:rsidRPr="007C33FC" w:rsidRDefault="009A0F19">
            <w:pPr>
              <w:rPr>
                <w:color w:val="000000" w:themeColor="text1"/>
                <w:lang w:val="fi-FI"/>
              </w:rPr>
            </w:pPr>
            <w:r w:rsidRPr="007C33FC">
              <w:rPr>
                <w:rFonts w:ascii="Arial" w:eastAsia="Arial" w:hAnsi="Arial" w:cs="Arial"/>
                <w:color w:val="000000" w:themeColor="text1"/>
                <w:sz w:val="22"/>
                <w:szCs w:val="22"/>
                <w:lang w:val="fi-FI"/>
              </w:rPr>
              <w:t>elina.laanto@helsinki.fi;</w:t>
            </w:r>
          </w:p>
          <w:p w14:paraId="585CCB3B" w14:textId="75A600F1" w:rsidR="00A97B6F" w:rsidRPr="007C33FC" w:rsidRDefault="009A0F19">
            <w:pPr>
              <w:rPr>
                <w:color w:val="000000" w:themeColor="text1"/>
                <w:lang w:val="fi-FI"/>
              </w:rPr>
            </w:pPr>
            <w:r w:rsidRPr="007C33FC">
              <w:rPr>
                <w:rFonts w:ascii="Arial" w:eastAsia="Arial" w:hAnsi="Arial" w:cs="Arial"/>
                <w:color w:val="000000" w:themeColor="text1"/>
                <w:sz w:val="22"/>
                <w:szCs w:val="22"/>
                <w:lang w:val="fi-FI"/>
              </w:rPr>
              <w:t>sari.mantynen@helsinki.fi;</w:t>
            </w:r>
          </w:p>
          <w:p w14:paraId="7AED80D4" w14:textId="349C7BBD" w:rsidR="00A97B6F" w:rsidRPr="007C33FC" w:rsidRDefault="009A0F19">
            <w:pPr>
              <w:rPr>
                <w:color w:val="000000" w:themeColor="text1"/>
                <w:lang w:val="fi-FI"/>
              </w:rPr>
            </w:pPr>
            <w:r w:rsidRPr="007C33FC">
              <w:rPr>
                <w:rFonts w:ascii="Arial" w:eastAsia="Arial" w:hAnsi="Arial" w:cs="Arial"/>
                <w:color w:val="000000" w:themeColor="text1"/>
                <w:sz w:val="22"/>
                <w:szCs w:val="22"/>
                <w:lang w:val="fi-FI"/>
              </w:rPr>
              <w:t>lotta-riina.sundberg@jyu.fi;</w:t>
            </w:r>
          </w:p>
          <w:p w14:paraId="04744286" w14:textId="2FE6D392" w:rsidR="00A97B6F" w:rsidRPr="007C33FC" w:rsidRDefault="009A0F19">
            <w:pPr>
              <w:rPr>
                <w:color w:val="000000" w:themeColor="text1"/>
                <w:lang w:val="fi-FI"/>
              </w:rPr>
            </w:pPr>
            <w:r w:rsidRPr="007C33FC">
              <w:rPr>
                <w:rFonts w:ascii="Arial" w:eastAsia="Arial" w:hAnsi="Arial" w:cs="Arial"/>
                <w:color w:val="000000" w:themeColor="text1"/>
                <w:sz w:val="22"/>
                <w:szCs w:val="22"/>
                <w:lang w:val="fi-FI"/>
              </w:rPr>
              <w:t>minna.poranen@helsinki.fi;</w:t>
            </w:r>
          </w:p>
          <w:p w14:paraId="671D39A6" w14:textId="05AE67A8" w:rsidR="00A97B6F" w:rsidRPr="007C33FC" w:rsidRDefault="009A0F19">
            <w:pPr>
              <w:rPr>
                <w:color w:val="000000" w:themeColor="text1"/>
                <w:sz w:val="22"/>
                <w:szCs w:val="22"/>
                <w:lang w:val="fi-FI"/>
              </w:rPr>
            </w:pPr>
            <w:r w:rsidRPr="007C33FC">
              <w:rPr>
                <w:rFonts w:ascii="Arial" w:eastAsia="Arial" w:hAnsi="Arial" w:cs="Arial"/>
                <w:color w:val="000000" w:themeColor="text1"/>
                <w:sz w:val="22"/>
                <w:szCs w:val="22"/>
                <w:lang w:val="fi-FI"/>
              </w:rPr>
              <w:t>hanna.oksanen@helsinki.fi</w:t>
            </w:r>
          </w:p>
        </w:tc>
      </w:tr>
    </w:tbl>
    <w:p w14:paraId="22CE2014" w14:textId="77777777" w:rsidR="00A97B6F" w:rsidRDefault="009A0F19">
      <w:pPr>
        <w:spacing w:before="120" w:after="120"/>
        <w:rPr>
          <w:rFonts w:ascii="Arial" w:eastAsia="Arial" w:hAnsi="Arial" w:cs="Arial"/>
          <w:color w:val="0000FF"/>
          <w:sz w:val="20"/>
          <w:szCs w:val="20"/>
        </w:rPr>
      </w:pPr>
      <w:r>
        <w:rPr>
          <w:rFonts w:ascii="Arial" w:eastAsia="Arial" w:hAnsi="Arial" w:cs="Arial"/>
          <w:b/>
        </w:rPr>
        <w:t>Author(s) institutional address(es) (optional)</w:t>
      </w:r>
    </w:p>
    <w:tbl>
      <w:tblPr>
        <w:tblStyle w:val="a1"/>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A97B6F" w14:paraId="43030603" w14:textId="77777777">
        <w:tc>
          <w:tcPr>
            <w:tcW w:w="9072" w:type="dxa"/>
            <w:shd w:val="clear" w:color="auto" w:fill="auto"/>
          </w:tcPr>
          <w:p w14:paraId="58B16C5E" w14:textId="77777777" w:rsidR="00A97B6F" w:rsidRDefault="00A97B6F">
            <w:pPr>
              <w:rPr>
                <w:rFonts w:ascii="Arial" w:eastAsia="Arial" w:hAnsi="Arial" w:cs="Arial"/>
                <w:sz w:val="22"/>
                <w:szCs w:val="22"/>
              </w:rPr>
            </w:pPr>
          </w:p>
          <w:p w14:paraId="29972878" w14:textId="77777777" w:rsidR="00A97B6F" w:rsidRDefault="009A0F19">
            <w:r>
              <w:rPr>
                <w:rFonts w:ascii="Arial" w:eastAsia="Arial" w:hAnsi="Arial" w:cs="Arial"/>
                <w:sz w:val="22"/>
                <w:szCs w:val="22"/>
              </w:rPr>
              <w:t>University of Helsinki, Finland (EL, SM, MMP, HMO)</w:t>
            </w:r>
          </w:p>
          <w:p w14:paraId="26F840AA" w14:textId="77777777" w:rsidR="00A97B6F" w:rsidRDefault="009A0F19">
            <w:pPr>
              <w:rPr>
                <w:rFonts w:ascii="Arial" w:eastAsia="Arial" w:hAnsi="Arial" w:cs="Arial"/>
                <w:sz w:val="22"/>
                <w:szCs w:val="22"/>
              </w:rPr>
            </w:pPr>
            <w:r>
              <w:rPr>
                <w:rFonts w:ascii="Arial" w:eastAsia="Arial" w:hAnsi="Arial" w:cs="Arial"/>
                <w:sz w:val="22"/>
                <w:szCs w:val="22"/>
              </w:rPr>
              <w:t>University of Jyväskylä, Finland (EL, LRS)</w:t>
            </w:r>
          </w:p>
          <w:p w14:paraId="1CD56EA9" w14:textId="77777777" w:rsidR="00A97B6F" w:rsidRDefault="00A97B6F">
            <w:pPr>
              <w:rPr>
                <w:rFonts w:ascii="Arial" w:eastAsia="Arial" w:hAnsi="Arial" w:cs="Arial"/>
                <w:sz w:val="22"/>
                <w:szCs w:val="22"/>
              </w:rPr>
            </w:pPr>
          </w:p>
        </w:tc>
      </w:tr>
    </w:tbl>
    <w:p w14:paraId="660A78E7" w14:textId="77777777" w:rsidR="00A97B6F" w:rsidRDefault="009A0F19">
      <w:pPr>
        <w:spacing w:before="120" w:after="120"/>
        <w:rPr>
          <w:rFonts w:ascii="Arial" w:eastAsia="Arial" w:hAnsi="Arial" w:cs="Arial"/>
          <w:b/>
        </w:rPr>
      </w:pPr>
      <w:r>
        <w:rPr>
          <w:rFonts w:ascii="Arial" w:eastAsia="Arial" w:hAnsi="Arial" w:cs="Arial"/>
          <w:b/>
        </w:rPr>
        <w:t>Corresponding author</w:t>
      </w:r>
    </w:p>
    <w:tbl>
      <w:tblPr>
        <w:tblStyle w:val="a2"/>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A97B6F" w14:paraId="6CF59CB1" w14:textId="77777777">
        <w:tc>
          <w:tcPr>
            <w:tcW w:w="9072" w:type="dxa"/>
            <w:shd w:val="clear" w:color="auto" w:fill="auto"/>
          </w:tcPr>
          <w:p w14:paraId="3ACD31A0" w14:textId="77777777" w:rsidR="00A97B6F" w:rsidRDefault="009A0F19">
            <w:pPr>
              <w:rPr>
                <w:rFonts w:ascii="Arial" w:eastAsia="Arial" w:hAnsi="Arial" w:cs="Arial"/>
                <w:sz w:val="22"/>
                <w:szCs w:val="22"/>
              </w:rPr>
            </w:pPr>
            <w:r>
              <w:rPr>
                <w:rFonts w:ascii="Arial" w:eastAsia="Arial" w:hAnsi="Arial" w:cs="Arial"/>
                <w:sz w:val="22"/>
                <w:szCs w:val="22"/>
              </w:rPr>
              <w:t>Hanna Oksanen</w:t>
            </w:r>
          </w:p>
        </w:tc>
      </w:tr>
    </w:tbl>
    <w:p w14:paraId="25891CC7" w14:textId="77777777" w:rsidR="00A97B6F" w:rsidRDefault="009A0F19">
      <w:pPr>
        <w:spacing w:before="120" w:after="120"/>
        <w:rPr>
          <w:rFonts w:ascii="Arial" w:eastAsia="Arial" w:hAnsi="Arial" w:cs="Arial"/>
          <w:b/>
        </w:rPr>
      </w:pPr>
      <w:r>
        <w:rPr>
          <w:rFonts w:ascii="Arial" w:eastAsia="Arial" w:hAnsi="Arial" w:cs="Arial"/>
          <w:b/>
        </w:rPr>
        <w:t>List the ICTV Study Group(s) that have seen this proposal</w:t>
      </w:r>
    </w:p>
    <w:tbl>
      <w:tblPr>
        <w:tblStyle w:val="a3"/>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A97B6F" w14:paraId="332B5CF5" w14:textId="77777777">
        <w:tc>
          <w:tcPr>
            <w:tcW w:w="9072" w:type="dxa"/>
            <w:shd w:val="clear" w:color="auto" w:fill="auto"/>
          </w:tcPr>
          <w:p w14:paraId="1821B61E" w14:textId="77777777" w:rsidR="00A97B6F" w:rsidRDefault="009A0F19">
            <w:pPr>
              <w:spacing w:line="259" w:lineRule="auto"/>
              <w:rPr>
                <w:rFonts w:ascii="Arial" w:eastAsia="Arial" w:hAnsi="Arial" w:cs="Arial"/>
                <w:sz w:val="22"/>
                <w:szCs w:val="22"/>
              </w:rPr>
            </w:pPr>
            <w:r>
              <w:rPr>
                <w:rFonts w:ascii="Arial" w:eastAsia="Arial" w:hAnsi="Arial" w:cs="Arial"/>
                <w:sz w:val="22"/>
                <w:szCs w:val="22"/>
              </w:rPr>
              <w:t xml:space="preserve">Bacterial Viruses Subcommittee Chair Evelien Adriaenssens, </w:t>
            </w:r>
            <w:r>
              <w:rPr>
                <w:rFonts w:ascii="Arial" w:eastAsia="Arial" w:hAnsi="Arial" w:cs="Arial"/>
                <w:i/>
                <w:sz w:val="22"/>
                <w:szCs w:val="22"/>
              </w:rPr>
              <w:t>Corticoviridae</w:t>
            </w:r>
            <w:r>
              <w:rPr>
                <w:rFonts w:ascii="Arial" w:eastAsia="Arial" w:hAnsi="Arial" w:cs="Arial"/>
                <w:sz w:val="22"/>
                <w:szCs w:val="22"/>
              </w:rPr>
              <w:t xml:space="preserve"> and </w:t>
            </w:r>
            <w:r>
              <w:rPr>
                <w:rFonts w:ascii="Arial" w:eastAsia="Arial" w:hAnsi="Arial" w:cs="Arial"/>
                <w:i/>
                <w:sz w:val="22"/>
                <w:szCs w:val="22"/>
              </w:rPr>
              <w:t xml:space="preserve">Cystoviridae </w:t>
            </w:r>
            <w:r>
              <w:rPr>
                <w:rFonts w:ascii="Arial" w:eastAsia="Arial" w:hAnsi="Arial" w:cs="Arial"/>
                <w:sz w:val="22"/>
                <w:szCs w:val="22"/>
              </w:rPr>
              <w:t>Study Groups</w:t>
            </w:r>
          </w:p>
          <w:p w14:paraId="60545CBC" w14:textId="77777777" w:rsidR="00A97B6F" w:rsidRDefault="00A97B6F">
            <w:pPr>
              <w:spacing w:line="259" w:lineRule="auto"/>
              <w:rPr>
                <w:sz w:val="22"/>
                <w:szCs w:val="22"/>
              </w:rPr>
            </w:pPr>
          </w:p>
          <w:p w14:paraId="1F768F36" w14:textId="77777777" w:rsidR="00A97B6F" w:rsidRDefault="00A97B6F">
            <w:pPr>
              <w:rPr>
                <w:sz w:val="22"/>
                <w:szCs w:val="22"/>
              </w:rPr>
            </w:pPr>
          </w:p>
          <w:p w14:paraId="2260C836" w14:textId="77777777" w:rsidR="00A97B6F" w:rsidRDefault="00A97B6F">
            <w:pPr>
              <w:rPr>
                <w:rFonts w:ascii="Arial" w:eastAsia="Arial" w:hAnsi="Arial" w:cs="Arial"/>
                <w:sz w:val="22"/>
                <w:szCs w:val="22"/>
              </w:rPr>
            </w:pPr>
          </w:p>
          <w:p w14:paraId="75ED7EEE" w14:textId="77777777" w:rsidR="00A97B6F" w:rsidRDefault="00A97B6F">
            <w:pPr>
              <w:rPr>
                <w:rFonts w:ascii="Arial" w:eastAsia="Arial" w:hAnsi="Arial" w:cs="Arial"/>
                <w:sz w:val="22"/>
                <w:szCs w:val="22"/>
              </w:rPr>
            </w:pPr>
          </w:p>
        </w:tc>
      </w:tr>
    </w:tbl>
    <w:p w14:paraId="2199FD72" w14:textId="77777777" w:rsidR="00A97B6F" w:rsidRDefault="009A0F19">
      <w:pPr>
        <w:spacing w:before="120" w:after="120"/>
        <w:rPr>
          <w:rFonts w:ascii="Arial" w:eastAsia="Arial" w:hAnsi="Arial" w:cs="Arial"/>
          <w:b/>
        </w:rPr>
      </w:pPr>
      <w:r>
        <w:rPr>
          <w:rFonts w:ascii="Arial" w:eastAsia="Arial" w:hAnsi="Arial" w:cs="Arial"/>
          <w:b/>
        </w:rPr>
        <w:t>ICTV Study Group comments and response of proposer</w:t>
      </w:r>
    </w:p>
    <w:p w14:paraId="2B9CBB1C" w14:textId="77777777" w:rsidR="00A97B6F" w:rsidRDefault="00A97B6F">
      <w:pPr>
        <w:rPr>
          <w:rFonts w:ascii="Arial" w:eastAsia="Arial" w:hAnsi="Arial" w:cs="Arial"/>
          <w:color w:val="0000FF"/>
          <w:sz w:val="20"/>
          <w:szCs w:val="20"/>
        </w:rPr>
      </w:pPr>
    </w:p>
    <w:tbl>
      <w:tblPr>
        <w:tblStyle w:val="a4"/>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A97B6F" w14:paraId="40CAF0BF" w14:textId="77777777">
        <w:tc>
          <w:tcPr>
            <w:tcW w:w="9072" w:type="dxa"/>
            <w:shd w:val="clear" w:color="auto" w:fill="auto"/>
          </w:tcPr>
          <w:p w14:paraId="36C2D998" w14:textId="77777777" w:rsidR="00A97B6F" w:rsidRDefault="00A97B6F">
            <w:pPr>
              <w:rPr>
                <w:rFonts w:ascii="Arial" w:eastAsia="Arial" w:hAnsi="Arial" w:cs="Arial"/>
                <w:sz w:val="22"/>
                <w:szCs w:val="22"/>
              </w:rPr>
            </w:pPr>
          </w:p>
          <w:p w14:paraId="6C226D70" w14:textId="77777777" w:rsidR="00A97B6F" w:rsidRDefault="00A97B6F">
            <w:pPr>
              <w:rPr>
                <w:rFonts w:ascii="Arial" w:eastAsia="Arial" w:hAnsi="Arial" w:cs="Arial"/>
                <w:sz w:val="22"/>
                <w:szCs w:val="22"/>
              </w:rPr>
            </w:pPr>
          </w:p>
          <w:p w14:paraId="7FCD5DFD" w14:textId="77777777" w:rsidR="00A97B6F" w:rsidRDefault="00A97B6F">
            <w:pPr>
              <w:rPr>
                <w:rFonts w:ascii="Arial" w:eastAsia="Arial" w:hAnsi="Arial" w:cs="Arial"/>
                <w:sz w:val="22"/>
                <w:szCs w:val="22"/>
              </w:rPr>
            </w:pPr>
          </w:p>
          <w:p w14:paraId="049BC04E" w14:textId="77777777" w:rsidR="00A97B6F" w:rsidRDefault="00A97B6F">
            <w:pPr>
              <w:rPr>
                <w:rFonts w:ascii="Arial" w:eastAsia="Arial" w:hAnsi="Arial" w:cs="Arial"/>
                <w:sz w:val="22"/>
                <w:szCs w:val="22"/>
              </w:rPr>
            </w:pPr>
          </w:p>
          <w:p w14:paraId="662D1A85" w14:textId="77777777" w:rsidR="00A97B6F" w:rsidRDefault="00A97B6F">
            <w:pPr>
              <w:rPr>
                <w:rFonts w:ascii="Arial" w:eastAsia="Arial" w:hAnsi="Arial" w:cs="Arial"/>
                <w:sz w:val="22"/>
                <w:szCs w:val="22"/>
              </w:rPr>
            </w:pPr>
          </w:p>
          <w:p w14:paraId="6B5F4445" w14:textId="77777777" w:rsidR="00A97B6F" w:rsidRDefault="00A97B6F">
            <w:pPr>
              <w:rPr>
                <w:rFonts w:ascii="Arial" w:eastAsia="Arial" w:hAnsi="Arial" w:cs="Arial"/>
                <w:sz w:val="22"/>
                <w:szCs w:val="22"/>
              </w:rPr>
            </w:pPr>
          </w:p>
        </w:tc>
      </w:tr>
    </w:tbl>
    <w:p w14:paraId="44829598" w14:textId="77777777" w:rsidR="00A97B6F" w:rsidRDefault="009A0F19">
      <w:pPr>
        <w:spacing w:before="120" w:after="120"/>
        <w:rPr>
          <w:rFonts w:ascii="Arial" w:eastAsia="Arial" w:hAnsi="Arial" w:cs="Arial"/>
          <w:b/>
        </w:rPr>
      </w:pPr>
      <w:r>
        <w:rPr>
          <w:rFonts w:ascii="Arial" w:eastAsia="Arial" w:hAnsi="Arial" w:cs="Arial"/>
          <w:b/>
        </w:rPr>
        <w:t>ICTV Study Group votes on proposal</w:t>
      </w:r>
    </w:p>
    <w:p w14:paraId="60B1C9A0" w14:textId="77777777" w:rsidR="00A97B6F" w:rsidRDefault="00A97B6F">
      <w:pPr>
        <w:rPr>
          <w:rFonts w:ascii="Arial" w:eastAsia="Arial" w:hAnsi="Arial" w:cs="Arial"/>
          <w:color w:val="0000FF"/>
          <w:sz w:val="20"/>
          <w:szCs w:val="20"/>
          <w:u w:val="single"/>
        </w:rPr>
      </w:pPr>
    </w:p>
    <w:tbl>
      <w:tblPr>
        <w:tblStyle w:val="a5"/>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1984"/>
        <w:gridCol w:w="1985"/>
        <w:gridCol w:w="2126"/>
      </w:tblGrid>
      <w:tr w:rsidR="00A97B6F" w14:paraId="0CBA6260" w14:textId="77777777">
        <w:tc>
          <w:tcPr>
            <w:tcW w:w="2977" w:type="dxa"/>
            <w:vMerge w:val="restart"/>
            <w:shd w:val="clear" w:color="auto" w:fill="auto"/>
          </w:tcPr>
          <w:p w14:paraId="1F90DE10" w14:textId="77777777" w:rsidR="00A97B6F" w:rsidRDefault="009A0F19">
            <w:pPr>
              <w:rPr>
                <w:rFonts w:ascii="Arial" w:eastAsia="Arial" w:hAnsi="Arial" w:cs="Arial"/>
                <w:b/>
                <w:color w:val="000000"/>
                <w:sz w:val="22"/>
                <w:szCs w:val="22"/>
              </w:rPr>
            </w:pPr>
            <w:r>
              <w:rPr>
                <w:rFonts w:ascii="Arial" w:eastAsia="Arial" w:hAnsi="Arial" w:cs="Arial"/>
                <w:b/>
                <w:color w:val="000000"/>
                <w:sz w:val="22"/>
                <w:szCs w:val="22"/>
              </w:rPr>
              <w:t>Study Group</w:t>
            </w:r>
          </w:p>
        </w:tc>
        <w:tc>
          <w:tcPr>
            <w:tcW w:w="6095" w:type="dxa"/>
            <w:gridSpan w:val="3"/>
            <w:shd w:val="clear" w:color="auto" w:fill="auto"/>
          </w:tcPr>
          <w:p w14:paraId="13A3C49C" w14:textId="77777777" w:rsidR="00A97B6F" w:rsidRDefault="009A0F19">
            <w:pPr>
              <w:jc w:val="center"/>
              <w:rPr>
                <w:rFonts w:ascii="Arial" w:eastAsia="Arial" w:hAnsi="Arial" w:cs="Arial"/>
                <w:b/>
                <w:color w:val="000000"/>
                <w:sz w:val="22"/>
                <w:szCs w:val="22"/>
              </w:rPr>
            </w:pPr>
            <w:r>
              <w:rPr>
                <w:rFonts w:ascii="Arial" w:eastAsia="Arial" w:hAnsi="Arial" w:cs="Arial"/>
                <w:b/>
                <w:color w:val="000000"/>
                <w:sz w:val="22"/>
                <w:szCs w:val="22"/>
              </w:rPr>
              <w:t>Number of members</w:t>
            </w:r>
          </w:p>
        </w:tc>
      </w:tr>
      <w:tr w:rsidR="00A97B6F" w14:paraId="1E702171" w14:textId="77777777">
        <w:tc>
          <w:tcPr>
            <w:tcW w:w="2977" w:type="dxa"/>
            <w:vMerge/>
            <w:shd w:val="clear" w:color="auto" w:fill="auto"/>
          </w:tcPr>
          <w:p w14:paraId="655CBE36" w14:textId="77777777" w:rsidR="00A97B6F" w:rsidRDefault="00A97B6F">
            <w:pPr>
              <w:widowControl w:val="0"/>
              <w:pBdr>
                <w:top w:val="nil"/>
                <w:left w:val="nil"/>
                <w:bottom w:val="nil"/>
                <w:right w:val="nil"/>
                <w:between w:val="nil"/>
              </w:pBdr>
              <w:spacing w:line="276" w:lineRule="auto"/>
              <w:rPr>
                <w:rFonts w:ascii="Arial" w:eastAsia="Arial" w:hAnsi="Arial" w:cs="Arial"/>
                <w:b/>
                <w:color w:val="000000"/>
                <w:sz w:val="22"/>
                <w:szCs w:val="22"/>
              </w:rPr>
            </w:pPr>
          </w:p>
        </w:tc>
        <w:tc>
          <w:tcPr>
            <w:tcW w:w="1984" w:type="dxa"/>
            <w:shd w:val="clear" w:color="auto" w:fill="auto"/>
          </w:tcPr>
          <w:p w14:paraId="31FA0671" w14:textId="77777777" w:rsidR="00A97B6F" w:rsidRDefault="009A0F19">
            <w:pPr>
              <w:jc w:val="center"/>
              <w:rPr>
                <w:rFonts w:ascii="Arial" w:eastAsia="Arial" w:hAnsi="Arial" w:cs="Arial"/>
                <w:b/>
                <w:sz w:val="22"/>
                <w:szCs w:val="22"/>
              </w:rPr>
            </w:pPr>
            <w:r>
              <w:rPr>
                <w:rFonts w:ascii="Arial" w:eastAsia="Arial" w:hAnsi="Arial" w:cs="Arial"/>
                <w:b/>
                <w:sz w:val="22"/>
                <w:szCs w:val="22"/>
              </w:rPr>
              <w:t>Votes support</w:t>
            </w:r>
          </w:p>
        </w:tc>
        <w:tc>
          <w:tcPr>
            <w:tcW w:w="1985" w:type="dxa"/>
            <w:shd w:val="clear" w:color="auto" w:fill="auto"/>
          </w:tcPr>
          <w:p w14:paraId="5FD5FB4F" w14:textId="77777777" w:rsidR="00A97B6F" w:rsidRDefault="009A0F19">
            <w:pPr>
              <w:jc w:val="center"/>
              <w:rPr>
                <w:rFonts w:ascii="Arial" w:eastAsia="Arial" w:hAnsi="Arial" w:cs="Arial"/>
                <w:b/>
                <w:sz w:val="22"/>
                <w:szCs w:val="22"/>
              </w:rPr>
            </w:pPr>
            <w:r>
              <w:rPr>
                <w:rFonts w:ascii="Arial" w:eastAsia="Arial" w:hAnsi="Arial" w:cs="Arial"/>
                <w:b/>
                <w:sz w:val="22"/>
                <w:szCs w:val="22"/>
              </w:rPr>
              <w:t>Votes against</w:t>
            </w:r>
          </w:p>
        </w:tc>
        <w:tc>
          <w:tcPr>
            <w:tcW w:w="2126" w:type="dxa"/>
          </w:tcPr>
          <w:p w14:paraId="2F16F2DF" w14:textId="77777777" w:rsidR="00A97B6F" w:rsidRDefault="009A0F19">
            <w:pPr>
              <w:jc w:val="center"/>
              <w:rPr>
                <w:rFonts w:ascii="Arial" w:eastAsia="Arial" w:hAnsi="Arial" w:cs="Arial"/>
                <w:b/>
                <w:sz w:val="22"/>
                <w:szCs w:val="22"/>
              </w:rPr>
            </w:pPr>
            <w:r>
              <w:rPr>
                <w:rFonts w:ascii="Arial" w:eastAsia="Arial" w:hAnsi="Arial" w:cs="Arial"/>
                <w:b/>
                <w:sz w:val="22"/>
                <w:szCs w:val="22"/>
              </w:rPr>
              <w:t>No vote</w:t>
            </w:r>
          </w:p>
        </w:tc>
      </w:tr>
      <w:tr w:rsidR="00A97B6F" w14:paraId="004AA494" w14:textId="77777777">
        <w:tc>
          <w:tcPr>
            <w:tcW w:w="2977" w:type="dxa"/>
            <w:shd w:val="clear" w:color="auto" w:fill="auto"/>
          </w:tcPr>
          <w:p w14:paraId="4EBFAA04" w14:textId="77777777" w:rsidR="00A97B6F" w:rsidRDefault="00A97B6F">
            <w:pPr>
              <w:rPr>
                <w:rFonts w:ascii="Arial" w:eastAsia="Arial" w:hAnsi="Arial" w:cs="Arial"/>
                <w:sz w:val="22"/>
                <w:szCs w:val="22"/>
              </w:rPr>
            </w:pPr>
          </w:p>
        </w:tc>
        <w:tc>
          <w:tcPr>
            <w:tcW w:w="1984" w:type="dxa"/>
            <w:shd w:val="clear" w:color="auto" w:fill="auto"/>
          </w:tcPr>
          <w:p w14:paraId="29EA3D9C" w14:textId="77777777" w:rsidR="00A97B6F" w:rsidRDefault="00A97B6F">
            <w:pPr>
              <w:rPr>
                <w:rFonts w:ascii="Arial" w:eastAsia="Arial" w:hAnsi="Arial" w:cs="Arial"/>
                <w:sz w:val="22"/>
                <w:szCs w:val="22"/>
              </w:rPr>
            </w:pPr>
          </w:p>
        </w:tc>
        <w:tc>
          <w:tcPr>
            <w:tcW w:w="1985" w:type="dxa"/>
            <w:shd w:val="clear" w:color="auto" w:fill="auto"/>
          </w:tcPr>
          <w:p w14:paraId="1A4A6191" w14:textId="77777777" w:rsidR="00A97B6F" w:rsidRDefault="00A97B6F">
            <w:pPr>
              <w:rPr>
                <w:rFonts w:ascii="Arial" w:eastAsia="Arial" w:hAnsi="Arial" w:cs="Arial"/>
                <w:sz w:val="22"/>
                <w:szCs w:val="22"/>
              </w:rPr>
            </w:pPr>
          </w:p>
        </w:tc>
        <w:tc>
          <w:tcPr>
            <w:tcW w:w="2126" w:type="dxa"/>
          </w:tcPr>
          <w:p w14:paraId="328DADA0" w14:textId="77777777" w:rsidR="00A97B6F" w:rsidRDefault="00A97B6F">
            <w:pPr>
              <w:rPr>
                <w:rFonts w:ascii="Arial" w:eastAsia="Arial" w:hAnsi="Arial" w:cs="Arial"/>
                <w:sz w:val="22"/>
                <w:szCs w:val="22"/>
              </w:rPr>
            </w:pPr>
          </w:p>
        </w:tc>
      </w:tr>
      <w:tr w:rsidR="00A97B6F" w14:paraId="48779F29" w14:textId="77777777">
        <w:tc>
          <w:tcPr>
            <w:tcW w:w="2977" w:type="dxa"/>
            <w:shd w:val="clear" w:color="auto" w:fill="auto"/>
          </w:tcPr>
          <w:p w14:paraId="4A985FE3" w14:textId="77777777" w:rsidR="00A97B6F" w:rsidRDefault="00A97B6F">
            <w:pPr>
              <w:rPr>
                <w:rFonts w:ascii="Arial" w:eastAsia="Arial" w:hAnsi="Arial" w:cs="Arial"/>
                <w:sz w:val="22"/>
                <w:szCs w:val="22"/>
              </w:rPr>
            </w:pPr>
          </w:p>
        </w:tc>
        <w:tc>
          <w:tcPr>
            <w:tcW w:w="1984" w:type="dxa"/>
            <w:shd w:val="clear" w:color="auto" w:fill="auto"/>
          </w:tcPr>
          <w:p w14:paraId="52A3620E" w14:textId="77777777" w:rsidR="00A97B6F" w:rsidRDefault="00A97B6F">
            <w:pPr>
              <w:rPr>
                <w:rFonts w:ascii="Arial" w:eastAsia="Arial" w:hAnsi="Arial" w:cs="Arial"/>
                <w:sz w:val="22"/>
                <w:szCs w:val="22"/>
              </w:rPr>
            </w:pPr>
          </w:p>
        </w:tc>
        <w:tc>
          <w:tcPr>
            <w:tcW w:w="1985" w:type="dxa"/>
            <w:shd w:val="clear" w:color="auto" w:fill="auto"/>
          </w:tcPr>
          <w:p w14:paraId="60F58C19" w14:textId="77777777" w:rsidR="00A97B6F" w:rsidRDefault="00A97B6F">
            <w:pPr>
              <w:rPr>
                <w:rFonts w:ascii="Arial" w:eastAsia="Arial" w:hAnsi="Arial" w:cs="Arial"/>
                <w:sz w:val="22"/>
                <w:szCs w:val="22"/>
              </w:rPr>
            </w:pPr>
          </w:p>
        </w:tc>
        <w:tc>
          <w:tcPr>
            <w:tcW w:w="2126" w:type="dxa"/>
          </w:tcPr>
          <w:p w14:paraId="470C9331" w14:textId="77777777" w:rsidR="00A97B6F" w:rsidRDefault="00A97B6F">
            <w:pPr>
              <w:rPr>
                <w:rFonts w:ascii="Arial" w:eastAsia="Arial" w:hAnsi="Arial" w:cs="Arial"/>
                <w:sz w:val="22"/>
                <w:szCs w:val="22"/>
              </w:rPr>
            </w:pPr>
          </w:p>
        </w:tc>
      </w:tr>
    </w:tbl>
    <w:p w14:paraId="2789F27F" w14:textId="77777777" w:rsidR="00BB77EA" w:rsidRDefault="00BB77EA">
      <w:pPr>
        <w:spacing w:before="120" w:after="120"/>
        <w:rPr>
          <w:rFonts w:ascii="Arial" w:eastAsia="Arial" w:hAnsi="Arial" w:cs="Arial"/>
          <w:b/>
        </w:rPr>
      </w:pPr>
    </w:p>
    <w:p w14:paraId="3021B200" w14:textId="0ECB47B0" w:rsidR="00A97B6F" w:rsidRDefault="009A0F19">
      <w:pPr>
        <w:spacing w:before="120" w:after="120"/>
        <w:rPr>
          <w:rFonts w:ascii="Arial" w:eastAsia="Arial" w:hAnsi="Arial" w:cs="Arial"/>
          <w:b/>
        </w:rPr>
      </w:pPr>
      <w:r>
        <w:rPr>
          <w:rFonts w:ascii="Arial" w:eastAsia="Arial" w:hAnsi="Arial" w:cs="Arial"/>
          <w:b/>
        </w:rPr>
        <w:lastRenderedPageBreak/>
        <w:t>Authority to use the name of a living person</w:t>
      </w:r>
    </w:p>
    <w:tbl>
      <w:tblPr>
        <w:tblStyle w:val="a6"/>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9"/>
        <w:gridCol w:w="1133"/>
      </w:tblGrid>
      <w:tr w:rsidR="00A97B6F" w14:paraId="6F8B19B0" w14:textId="77777777">
        <w:tc>
          <w:tcPr>
            <w:tcW w:w="7939" w:type="dxa"/>
            <w:shd w:val="clear" w:color="auto" w:fill="auto"/>
          </w:tcPr>
          <w:p w14:paraId="17B67621" w14:textId="77777777" w:rsidR="00A97B6F" w:rsidRDefault="009A0F19">
            <w:r>
              <w:rPr>
                <w:rFonts w:ascii="Arial" w:eastAsia="Arial" w:hAnsi="Arial" w:cs="Arial"/>
                <w:b/>
                <w:color w:val="000000"/>
                <w:sz w:val="22"/>
                <w:szCs w:val="22"/>
              </w:rPr>
              <w:t>Is any taxon name used here derived from that of a living person (Y/N)</w:t>
            </w:r>
          </w:p>
        </w:tc>
        <w:tc>
          <w:tcPr>
            <w:tcW w:w="1133" w:type="dxa"/>
            <w:shd w:val="clear" w:color="auto" w:fill="auto"/>
          </w:tcPr>
          <w:p w14:paraId="4DDE9872" w14:textId="77777777" w:rsidR="00A97B6F" w:rsidRDefault="009A0F19">
            <w:pPr>
              <w:rPr>
                <w:rFonts w:ascii="Arial" w:eastAsia="Arial" w:hAnsi="Arial" w:cs="Arial"/>
                <w:sz w:val="22"/>
                <w:szCs w:val="22"/>
              </w:rPr>
            </w:pPr>
            <w:r>
              <w:rPr>
                <w:rFonts w:ascii="Arial" w:eastAsia="Arial" w:hAnsi="Arial" w:cs="Arial"/>
                <w:sz w:val="22"/>
                <w:szCs w:val="22"/>
              </w:rPr>
              <w:t>N</w:t>
            </w:r>
          </w:p>
        </w:tc>
      </w:tr>
    </w:tbl>
    <w:p w14:paraId="466571B1" w14:textId="77777777" w:rsidR="00A97B6F" w:rsidRDefault="00A97B6F">
      <w:pPr>
        <w:rPr>
          <w:rFonts w:ascii="Arial" w:eastAsia="Arial" w:hAnsi="Arial" w:cs="Arial"/>
          <w:color w:val="0000FF"/>
          <w:sz w:val="20"/>
          <w:szCs w:val="20"/>
        </w:rPr>
      </w:pPr>
    </w:p>
    <w:tbl>
      <w:tblPr>
        <w:tblStyle w:val="a7"/>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3403"/>
        <w:gridCol w:w="2977"/>
      </w:tblGrid>
      <w:tr w:rsidR="00A97B6F" w14:paraId="54300A51" w14:textId="77777777">
        <w:tc>
          <w:tcPr>
            <w:tcW w:w="2692" w:type="dxa"/>
            <w:shd w:val="clear" w:color="auto" w:fill="auto"/>
          </w:tcPr>
          <w:p w14:paraId="3CC77DC6" w14:textId="77777777" w:rsidR="00A97B6F" w:rsidRDefault="009A0F19">
            <w:pPr>
              <w:rPr>
                <w:rFonts w:ascii="Arial" w:eastAsia="Arial" w:hAnsi="Arial" w:cs="Arial"/>
                <w:b/>
                <w:color w:val="000000"/>
                <w:sz w:val="22"/>
                <w:szCs w:val="22"/>
              </w:rPr>
            </w:pPr>
            <w:r>
              <w:rPr>
                <w:rFonts w:ascii="Arial" w:eastAsia="Arial" w:hAnsi="Arial" w:cs="Arial"/>
                <w:b/>
                <w:color w:val="000000"/>
                <w:sz w:val="22"/>
                <w:szCs w:val="22"/>
              </w:rPr>
              <w:t>Taxon name</w:t>
            </w:r>
          </w:p>
        </w:tc>
        <w:tc>
          <w:tcPr>
            <w:tcW w:w="3403" w:type="dxa"/>
            <w:shd w:val="clear" w:color="auto" w:fill="auto"/>
          </w:tcPr>
          <w:p w14:paraId="4C30F30A" w14:textId="77777777" w:rsidR="00A97B6F" w:rsidRDefault="009A0F19">
            <w:r>
              <w:rPr>
                <w:rFonts w:ascii="Arial" w:eastAsia="Arial" w:hAnsi="Arial" w:cs="Arial"/>
                <w:b/>
                <w:color w:val="000000"/>
                <w:sz w:val="22"/>
                <w:szCs w:val="22"/>
              </w:rPr>
              <w:t>Person from whom the name is derived</w:t>
            </w:r>
          </w:p>
        </w:tc>
        <w:tc>
          <w:tcPr>
            <w:tcW w:w="2977" w:type="dxa"/>
            <w:shd w:val="clear" w:color="auto" w:fill="auto"/>
          </w:tcPr>
          <w:p w14:paraId="0CE8A5DF" w14:textId="77777777" w:rsidR="00A97B6F" w:rsidRDefault="009A0F19">
            <w:r>
              <w:rPr>
                <w:rFonts w:ascii="Arial" w:eastAsia="Arial" w:hAnsi="Arial" w:cs="Arial"/>
                <w:b/>
                <w:color w:val="000000"/>
                <w:sz w:val="22"/>
                <w:szCs w:val="22"/>
              </w:rPr>
              <w:t>Permission attached (Y/N)</w:t>
            </w:r>
          </w:p>
        </w:tc>
      </w:tr>
      <w:tr w:rsidR="00A97B6F" w14:paraId="4E92324A" w14:textId="77777777">
        <w:tc>
          <w:tcPr>
            <w:tcW w:w="2692" w:type="dxa"/>
            <w:shd w:val="clear" w:color="auto" w:fill="auto"/>
          </w:tcPr>
          <w:p w14:paraId="5208A901" w14:textId="77777777" w:rsidR="00A97B6F" w:rsidRDefault="00A97B6F">
            <w:pPr>
              <w:rPr>
                <w:rFonts w:ascii="Arial" w:eastAsia="Arial" w:hAnsi="Arial" w:cs="Arial"/>
                <w:sz w:val="22"/>
                <w:szCs w:val="22"/>
              </w:rPr>
            </w:pPr>
          </w:p>
        </w:tc>
        <w:tc>
          <w:tcPr>
            <w:tcW w:w="3403" w:type="dxa"/>
            <w:shd w:val="clear" w:color="auto" w:fill="auto"/>
          </w:tcPr>
          <w:p w14:paraId="31487490" w14:textId="77777777" w:rsidR="00A97B6F" w:rsidRDefault="00A97B6F">
            <w:pPr>
              <w:rPr>
                <w:rFonts w:ascii="Arial" w:eastAsia="Arial" w:hAnsi="Arial" w:cs="Arial"/>
                <w:sz w:val="22"/>
                <w:szCs w:val="22"/>
              </w:rPr>
            </w:pPr>
          </w:p>
        </w:tc>
        <w:tc>
          <w:tcPr>
            <w:tcW w:w="2977" w:type="dxa"/>
            <w:shd w:val="clear" w:color="auto" w:fill="auto"/>
          </w:tcPr>
          <w:p w14:paraId="43AC930D" w14:textId="77777777" w:rsidR="00A97B6F" w:rsidRDefault="00A97B6F">
            <w:pPr>
              <w:rPr>
                <w:rFonts w:ascii="Arial" w:eastAsia="Arial" w:hAnsi="Arial" w:cs="Arial"/>
                <w:sz w:val="22"/>
                <w:szCs w:val="22"/>
              </w:rPr>
            </w:pPr>
          </w:p>
        </w:tc>
      </w:tr>
      <w:tr w:rsidR="00A97B6F" w14:paraId="61C10A10" w14:textId="77777777">
        <w:tc>
          <w:tcPr>
            <w:tcW w:w="2692" w:type="dxa"/>
            <w:shd w:val="clear" w:color="auto" w:fill="auto"/>
          </w:tcPr>
          <w:p w14:paraId="59A00F2E" w14:textId="77777777" w:rsidR="00A97B6F" w:rsidRDefault="00A97B6F">
            <w:pPr>
              <w:rPr>
                <w:rFonts w:ascii="Arial" w:eastAsia="Arial" w:hAnsi="Arial" w:cs="Arial"/>
                <w:sz w:val="22"/>
                <w:szCs w:val="22"/>
              </w:rPr>
            </w:pPr>
          </w:p>
        </w:tc>
        <w:tc>
          <w:tcPr>
            <w:tcW w:w="3403" w:type="dxa"/>
            <w:shd w:val="clear" w:color="auto" w:fill="auto"/>
          </w:tcPr>
          <w:p w14:paraId="6C7350CB" w14:textId="77777777" w:rsidR="00A97B6F" w:rsidRDefault="00A97B6F">
            <w:pPr>
              <w:rPr>
                <w:rFonts w:ascii="Arial" w:eastAsia="Arial" w:hAnsi="Arial" w:cs="Arial"/>
                <w:sz w:val="22"/>
                <w:szCs w:val="22"/>
              </w:rPr>
            </w:pPr>
          </w:p>
        </w:tc>
        <w:tc>
          <w:tcPr>
            <w:tcW w:w="2977" w:type="dxa"/>
            <w:shd w:val="clear" w:color="auto" w:fill="auto"/>
          </w:tcPr>
          <w:p w14:paraId="1EEF69F8" w14:textId="77777777" w:rsidR="00A97B6F" w:rsidRDefault="00A97B6F">
            <w:pPr>
              <w:rPr>
                <w:rFonts w:ascii="Arial" w:eastAsia="Arial" w:hAnsi="Arial" w:cs="Arial"/>
                <w:sz w:val="22"/>
                <w:szCs w:val="22"/>
              </w:rPr>
            </w:pPr>
          </w:p>
        </w:tc>
      </w:tr>
      <w:tr w:rsidR="00A97B6F" w14:paraId="790446CA" w14:textId="77777777">
        <w:tc>
          <w:tcPr>
            <w:tcW w:w="2692" w:type="dxa"/>
            <w:shd w:val="clear" w:color="auto" w:fill="auto"/>
          </w:tcPr>
          <w:p w14:paraId="45ABDFC7" w14:textId="77777777" w:rsidR="00A97B6F" w:rsidRDefault="00A97B6F">
            <w:pPr>
              <w:rPr>
                <w:rFonts w:ascii="Arial" w:eastAsia="Arial" w:hAnsi="Arial" w:cs="Arial"/>
                <w:sz w:val="22"/>
                <w:szCs w:val="22"/>
              </w:rPr>
            </w:pPr>
          </w:p>
        </w:tc>
        <w:tc>
          <w:tcPr>
            <w:tcW w:w="3403" w:type="dxa"/>
            <w:shd w:val="clear" w:color="auto" w:fill="auto"/>
          </w:tcPr>
          <w:p w14:paraId="6DB4B892" w14:textId="77777777" w:rsidR="00A97B6F" w:rsidRDefault="00A97B6F">
            <w:pPr>
              <w:rPr>
                <w:rFonts w:ascii="Arial" w:eastAsia="Arial" w:hAnsi="Arial" w:cs="Arial"/>
                <w:sz w:val="22"/>
                <w:szCs w:val="22"/>
              </w:rPr>
            </w:pPr>
          </w:p>
        </w:tc>
        <w:tc>
          <w:tcPr>
            <w:tcW w:w="2977" w:type="dxa"/>
            <w:shd w:val="clear" w:color="auto" w:fill="auto"/>
          </w:tcPr>
          <w:p w14:paraId="4919ACBA" w14:textId="77777777" w:rsidR="00A97B6F" w:rsidRDefault="00A97B6F">
            <w:pPr>
              <w:rPr>
                <w:rFonts w:ascii="Arial" w:eastAsia="Arial" w:hAnsi="Arial" w:cs="Arial"/>
                <w:sz w:val="22"/>
                <w:szCs w:val="22"/>
              </w:rPr>
            </w:pPr>
          </w:p>
        </w:tc>
      </w:tr>
    </w:tbl>
    <w:p w14:paraId="341CB0D0" w14:textId="77777777" w:rsidR="00A97B6F" w:rsidRDefault="00A97B6F"/>
    <w:p w14:paraId="4BB7F819" w14:textId="77777777" w:rsidR="00A97B6F" w:rsidRDefault="009A0F19">
      <w:pPr>
        <w:rPr>
          <w:rFonts w:ascii="Arial" w:eastAsia="Arial" w:hAnsi="Arial" w:cs="Arial"/>
          <w:b/>
        </w:rPr>
      </w:pPr>
      <w:r>
        <w:rPr>
          <w:rFonts w:ascii="Arial" w:eastAsia="Arial" w:hAnsi="Arial" w:cs="Arial"/>
          <w:b/>
        </w:rPr>
        <w:t>Submission dates</w:t>
      </w:r>
    </w:p>
    <w:tbl>
      <w:tblPr>
        <w:tblStyle w:val="a8"/>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252"/>
      </w:tblGrid>
      <w:tr w:rsidR="00A97B6F" w14:paraId="171DC5FD" w14:textId="77777777">
        <w:tc>
          <w:tcPr>
            <w:tcW w:w="4820" w:type="dxa"/>
            <w:shd w:val="clear" w:color="auto" w:fill="auto"/>
          </w:tcPr>
          <w:p w14:paraId="6BB5BD6F" w14:textId="77777777" w:rsidR="00A97B6F" w:rsidRDefault="009A0F19">
            <w:pPr>
              <w:rPr>
                <w:sz w:val="22"/>
                <w:szCs w:val="22"/>
              </w:rPr>
            </w:pPr>
            <w:r>
              <w:rPr>
                <w:rFonts w:ascii="Arial" w:eastAsia="Arial" w:hAnsi="Arial" w:cs="Arial"/>
                <w:sz w:val="22"/>
                <w:szCs w:val="22"/>
              </w:rPr>
              <w:t>Date first submitted to SC Chair</w:t>
            </w:r>
          </w:p>
        </w:tc>
        <w:tc>
          <w:tcPr>
            <w:tcW w:w="4252" w:type="dxa"/>
            <w:shd w:val="clear" w:color="auto" w:fill="auto"/>
          </w:tcPr>
          <w:p w14:paraId="363129CF" w14:textId="77777777" w:rsidR="00A97B6F" w:rsidRDefault="009A0F19">
            <w:pPr>
              <w:rPr>
                <w:rFonts w:ascii="Arial" w:eastAsia="Arial" w:hAnsi="Arial" w:cs="Arial"/>
                <w:sz w:val="22"/>
                <w:szCs w:val="22"/>
              </w:rPr>
            </w:pPr>
            <w:r>
              <w:rPr>
                <w:rFonts w:ascii="Arial" w:eastAsia="Arial" w:hAnsi="Arial" w:cs="Arial"/>
                <w:sz w:val="22"/>
                <w:szCs w:val="22"/>
              </w:rPr>
              <w:t>May 6</w:t>
            </w:r>
            <w:r>
              <w:rPr>
                <w:rFonts w:ascii="Arial" w:eastAsia="Arial" w:hAnsi="Arial" w:cs="Arial"/>
                <w:sz w:val="22"/>
                <w:szCs w:val="22"/>
                <w:vertAlign w:val="superscript"/>
              </w:rPr>
              <w:t>th</w:t>
            </w:r>
            <w:r>
              <w:rPr>
                <w:rFonts w:ascii="Arial" w:eastAsia="Arial" w:hAnsi="Arial" w:cs="Arial"/>
                <w:sz w:val="22"/>
                <w:szCs w:val="22"/>
              </w:rPr>
              <w:t>, 2022</w:t>
            </w:r>
          </w:p>
        </w:tc>
      </w:tr>
      <w:tr w:rsidR="00A97B6F" w14:paraId="6CE80524" w14:textId="77777777">
        <w:tc>
          <w:tcPr>
            <w:tcW w:w="4820" w:type="dxa"/>
            <w:shd w:val="clear" w:color="auto" w:fill="auto"/>
          </w:tcPr>
          <w:p w14:paraId="6C4141F1" w14:textId="77777777" w:rsidR="00A97B6F" w:rsidRDefault="009A0F19">
            <w:pPr>
              <w:rPr>
                <w:sz w:val="22"/>
                <w:szCs w:val="22"/>
              </w:rPr>
            </w:pPr>
            <w:r>
              <w:rPr>
                <w:rFonts w:ascii="Arial" w:eastAsia="Arial" w:hAnsi="Arial" w:cs="Arial"/>
                <w:sz w:val="22"/>
                <w:szCs w:val="22"/>
              </w:rPr>
              <w:t>Date of this revision (if different to above)</w:t>
            </w:r>
          </w:p>
        </w:tc>
        <w:tc>
          <w:tcPr>
            <w:tcW w:w="4252" w:type="dxa"/>
            <w:shd w:val="clear" w:color="auto" w:fill="auto"/>
          </w:tcPr>
          <w:p w14:paraId="1E8B9BE3" w14:textId="64DF049C" w:rsidR="00A97B6F" w:rsidRDefault="007C33FC">
            <w:pPr>
              <w:rPr>
                <w:rFonts w:ascii="Arial" w:eastAsia="Arial" w:hAnsi="Arial" w:cs="Arial"/>
                <w:sz w:val="22"/>
                <w:szCs w:val="22"/>
              </w:rPr>
            </w:pPr>
            <w:r>
              <w:rPr>
                <w:rFonts w:ascii="Arial" w:eastAsia="Arial" w:hAnsi="Arial" w:cs="Arial"/>
                <w:sz w:val="22"/>
                <w:szCs w:val="22"/>
              </w:rPr>
              <w:t>August 15</w:t>
            </w:r>
            <w:r w:rsidRPr="007C33FC">
              <w:rPr>
                <w:rFonts w:ascii="Arial" w:eastAsia="Arial" w:hAnsi="Arial" w:cs="Arial"/>
                <w:sz w:val="22"/>
                <w:szCs w:val="22"/>
                <w:vertAlign w:val="superscript"/>
              </w:rPr>
              <w:t>th</w:t>
            </w:r>
            <w:r>
              <w:rPr>
                <w:rFonts w:ascii="Arial" w:eastAsia="Arial" w:hAnsi="Arial" w:cs="Arial"/>
                <w:sz w:val="22"/>
                <w:szCs w:val="22"/>
              </w:rPr>
              <w:t>, 2022</w:t>
            </w:r>
          </w:p>
        </w:tc>
      </w:tr>
    </w:tbl>
    <w:p w14:paraId="1C1A2054" w14:textId="77777777" w:rsidR="00A97B6F" w:rsidRDefault="009A0F19">
      <w:pPr>
        <w:spacing w:before="120" w:after="120"/>
        <w:rPr>
          <w:rFonts w:ascii="Arial" w:eastAsia="Arial" w:hAnsi="Arial" w:cs="Arial"/>
          <w:b/>
        </w:rPr>
      </w:pPr>
      <w:r>
        <w:rPr>
          <w:rFonts w:ascii="Arial" w:eastAsia="Arial" w:hAnsi="Arial" w:cs="Arial"/>
          <w:b/>
        </w:rPr>
        <w:t>ICTV-EC comments and response of the proposer</w:t>
      </w:r>
    </w:p>
    <w:tbl>
      <w:tblPr>
        <w:tblStyle w:val="a9"/>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A97B6F" w14:paraId="7EA710AE" w14:textId="77777777">
        <w:tc>
          <w:tcPr>
            <w:tcW w:w="9072" w:type="dxa"/>
            <w:shd w:val="clear" w:color="auto" w:fill="auto"/>
          </w:tcPr>
          <w:p w14:paraId="3156FFDF" w14:textId="4EEEBA9B" w:rsidR="00A97B6F" w:rsidRDefault="00747528">
            <w:pPr>
              <w:rPr>
                <w:rFonts w:ascii="Arial" w:eastAsia="Arial" w:hAnsi="Arial" w:cs="Arial"/>
                <w:sz w:val="22"/>
                <w:szCs w:val="22"/>
              </w:rPr>
            </w:pPr>
            <w:r>
              <w:rPr>
                <w:rFonts w:ascii="Arial" w:eastAsia="Arial" w:hAnsi="Arial" w:cs="Arial"/>
                <w:sz w:val="22"/>
                <w:szCs w:val="22"/>
              </w:rPr>
              <w:t xml:space="preserve">ICTV-EC comments: </w:t>
            </w:r>
            <w:r w:rsidR="004B2D4B" w:rsidRPr="004B2D4B">
              <w:rPr>
                <w:rFonts w:ascii="Arial" w:eastAsia="Arial" w:hAnsi="Arial" w:cs="Arial"/>
                <w:sz w:val="22"/>
                <w:szCs w:val="22"/>
              </w:rPr>
              <w:t>The demarcation criteria are the same for the two new ranks. Choose one of the ranks for the demarcation criterion, other rank should be created with more specific criteria or indicate that there are currently no specific criteria.</w:t>
            </w:r>
          </w:p>
          <w:p w14:paraId="0C768B2C" w14:textId="77777777" w:rsidR="00747528" w:rsidRDefault="00747528">
            <w:pPr>
              <w:rPr>
                <w:rFonts w:ascii="Arial" w:eastAsia="Arial" w:hAnsi="Arial" w:cs="Arial"/>
                <w:sz w:val="22"/>
                <w:szCs w:val="22"/>
              </w:rPr>
            </w:pPr>
          </w:p>
          <w:p w14:paraId="71A2E12E" w14:textId="688B2FE0" w:rsidR="00A97B6F" w:rsidRDefault="007C33FC">
            <w:pPr>
              <w:rPr>
                <w:rFonts w:ascii="Arial" w:eastAsia="Arial" w:hAnsi="Arial" w:cs="Arial"/>
                <w:sz w:val="22"/>
                <w:szCs w:val="22"/>
              </w:rPr>
            </w:pPr>
            <w:r>
              <w:rPr>
                <w:rFonts w:ascii="Arial" w:eastAsia="Arial" w:hAnsi="Arial" w:cs="Arial"/>
                <w:sz w:val="22"/>
                <w:szCs w:val="22"/>
              </w:rPr>
              <w:t xml:space="preserve">Proposer: </w:t>
            </w:r>
            <w:r w:rsidRPr="007C33FC">
              <w:rPr>
                <w:rFonts w:ascii="Arial" w:eastAsia="Arial" w:hAnsi="Arial" w:cs="Arial"/>
                <w:sz w:val="22"/>
                <w:szCs w:val="22"/>
              </w:rPr>
              <w:t>The</w:t>
            </w:r>
            <w:r>
              <w:rPr>
                <w:rFonts w:ascii="Arial" w:eastAsia="Arial" w:hAnsi="Arial" w:cs="Arial"/>
                <w:sz w:val="22"/>
                <w:szCs w:val="22"/>
              </w:rPr>
              <w:t xml:space="preserve"> demarcation </w:t>
            </w:r>
            <w:r w:rsidRPr="007C33FC">
              <w:rPr>
                <w:rFonts w:ascii="Arial" w:eastAsia="Arial" w:hAnsi="Arial" w:cs="Arial"/>
                <w:sz w:val="22"/>
                <w:szCs w:val="22"/>
              </w:rPr>
              <w:t xml:space="preserve">criteria determine the class level. There are currently no criteria for the </w:t>
            </w:r>
            <w:r>
              <w:rPr>
                <w:rFonts w:ascii="Arial" w:eastAsia="Arial" w:hAnsi="Arial" w:cs="Arial"/>
                <w:sz w:val="22"/>
                <w:szCs w:val="22"/>
              </w:rPr>
              <w:t>o</w:t>
            </w:r>
            <w:r w:rsidRPr="007C33FC">
              <w:rPr>
                <w:rFonts w:ascii="Arial" w:eastAsia="Arial" w:hAnsi="Arial" w:cs="Arial"/>
                <w:sz w:val="22"/>
                <w:szCs w:val="22"/>
              </w:rPr>
              <w:t>rde</w:t>
            </w:r>
            <w:r>
              <w:rPr>
                <w:rFonts w:ascii="Arial" w:eastAsia="Arial" w:hAnsi="Arial" w:cs="Arial"/>
                <w:sz w:val="22"/>
                <w:szCs w:val="22"/>
              </w:rPr>
              <w:t>r</w:t>
            </w:r>
            <w:r w:rsidRPr="007C33FC">
              <w:rPr>
                <w:rFonts w:ascii="Arial" w:eastAsia="Arial" w:hAnsi="Arial" w:cs="Arial"/>
                <w:sz w:val="22"/>
                <w:szCs w:val="22"/>
              </w:rPr>
              <w:t xml:space="preserve">. </w:t>
            </w:r>
            <w:r>
              <w:rPr>
                <w:rFonts w:ascii="Arial" w:eastAsia="Arial" w:hAnsi="Arial" w:cs="Arial"/>
                <w:sz w:val="22"/>
                <w:szCs w:val="22"/>
              </w:rPr>
              <w:t xml:space="preserve">Demarcation </w:t>
            </w:r>
            <w:r w:rsidRPr="007C33FC">
              <w:rPr>
                <w:rFonts w:ascii="Arial" w:eastAsia="Arial" w:hAnsi="Arial" w:cs="Arial"/>
                <w:sz w:val="22"/>
                <w:szCs w:val="22"/>
              </w:rPr>
              <w:t xml:space="preserve">criteria </w:t>
            </w:r>
            <w:r>
              <w:rPr>
                <w:rFonts w:ascii="Arial" w:eastAsia="Arial" w:hAnsi="Arial" w:cs="Arial"/>
                <w:sz w:val="22"/>
                <w:szCs w:val="22"/>
              </w:rPr>
              <w:t xml:space="preserve">for the order </w:t>
            </w:r>
            <w:r w:rsidRPr="007C33FC">
              <w:rPr>
                <w:rFonts w:ascii="Arial" w:eastAsia="Arial" w:hAnsi="Arial" w:cs="Arial"/>
                <w:sz w:val="22"/>
                <w:szCs w:val="22"/>
              </w:rPr>
              <w:t xml:space="preserve">are </w:t>
            </w:r>
            <w:proofErr w:type="gramStart"/>
            <w:r w:rsidRPr="007C33FC">
              <w:rPr>
                <w:rFonts w:ascii="Arial" w:eastAsia="Arial" w:hAnsi="Arial" w:cs="Arial"/>
                <w:sz w:val="22"/>
                <w:szCs w:val="22"/>
              </w:rPr>
              <w:t>created</w:t>
            </w:r>
            <w:proofErr w:type="gramEnd"/>
            <w:r w:rsidRPr="007C33FC">
              <w:rPr>
                <w:rFonts w:ascii="Arial" w:eastAsia="Arial" w:hAnsi="Arial" w:cs="Arial"/>
                <w:sz w:val="22"/>
                <w:szCs w:val="22"/>
              </w:rPr>
              <w:t xml:space="preserve"> if necessary, when new species are described.</w:t>
            </w:r>
          </w:p>
          <w:p w14:paraId="3B13B8D8" w14:textId="77777777" w:rsidR="00A97B6F" w:rsidRDefault="00A97B6F">
            <w:pPr>
              <w:rPr>
                <w:rFonts w:ascii="Arial" w:eastAsia="Arial" w:hAnsi="Arial" w:cs="Arial"/>
                <w:sz w:val="22"/>
                <w:szCs w:val="22"/>
              </w:rPr>
            </w:pPr>
          </w:p>
        </w:tc>
      </w:tr>
    </w:tbl>
    <w:p w14:paraId="6A37D7B9" w14:textId="77777777" w:rsidR="00A97B6F" w:rsidRDefault="00A97B6F">
      <w:pPr>
        <w:pBdr>
          <w:top w:val="nil"/>
          <w:left w:val="nil"/>
          <w:bottom w:val="nil"/>
          <w:right w:val="nil"/>
          <w:between w:val="nil"/>
        </w:pBdr>
        <w:spacing w:before="120" w:after="120"/>
        <w:rPr>
          <w:rFonts w:ascii="Arial" w:eastAsia="Arial" w:hAnsi="Arial" w:cs="Arial"/>
          <w:b/>
          <w:color w:val="000000"/>
        </w:rPr>
      </w:pPr>
    </w:p>
    <w:p w14:paraId="7B5BBF6D" w14:textId="77777777" w:rsidR="00A97B6F" w:rsidRDefault="009A0F19">
      <w:pPr>
        <w:pBdr>
          <w:top w:val="nil"/>
          <w:left w:val="nil"/>
          <w:bottom w:val="nil"/>
          <w:right w:val="nil"/>
          <w:between w:val="nil"/>
        </w:pBdr>
        <w:spacing w:before="120" w:after="120"/>
        <w:rPr>
          <w:rFonts w:ascii="Arial" w:eastAsia="Arial" w:hAnsi="Arial" w:cs="Arial"/>
          <w:color w:val="000000"/>
          <w:sz w:val="20"/>
          <w:szCs w:val="20"/>
        </w:rPr>
      </w:pPr>
      <w:r>
        <w:rPr>
          <w:rFonts w:ascii="Arial" w:eastAsia="Arial" w:hAnsi="Arial" w:cs="Arial"/>
          <w:b/>
          <w:color w:val="000000"/>
        </w:rPr>
        <w:t>Part 2:</w:t>
      </w:r>
      <w:r>
        <w:rPr>
          <w:rFonts w:ascii="Arial" w:eastAsia="Arial" w:hAnsi="Arial" w:cs="Arial"/>
          <w:color w:val="000000"/>
          <w:sz w:val="22"/>
          <w:szCs w:val="22"/>
        </w:rPr>
        <w:t xml:space="preserve"> </w:t>
      </w:r>
      <w:r>
        <w:rPr>
          <w:rFonts w:ascii="Arial" w:eastAsia="Arial" w:hAnsi="Arial" w:cs="Arial"/>
          <w:b/>
          <w:color w:val="000000"/>
          <w:sz w:val="22"/>
          <w:szCs w:val="22"/>
          <w:u w:val="single"/>
        </w:rPr>
        <w:t>NON-TAXONOMIC PROPOSAL</w:t>
      </w:r>
    </w:p>
    <w:p w14:paraId="09CBB608" w14:textId="77777777" w:rsidR="00A97B6F" w:rsidRDefault="009A0F19">
      <w:pPr>
        <w:pBdr>
          <w:top w:val="nil"/>
          <w:left w:val="nil"/>
          <w:bottom w:val="nil"/>
          <w:right w:val="nil"/>
          <w:between w:val="nil"/>
        </w:pBdr>
        <w:spacing w:before="120" w:after="120"/>
        <w:rPr>
          <w:rFonts w:ascii="Arial" w:eastAsia="Arial" w:hAnsi="Arial" w:cs="Arial"/>
          <w:b/>
          <w:color w:val="000000"/>
        </w:rPr>
      </w:pPr>
      <w:r>
        <w:rPr>
          <w:rFonts w:ascii="Arial" w:eastAsia="Arial" w:hAnsi="Arial" w:cs="Arial"/>
          <w:b/>
          <w:color w:val="000000"/>
        </w:rPr>
        <w:t>Text of proposal</w:t>
      </w:r>
    </w:p>
    <w:tbl>
      <w:tblPr>
        <w:tblStyle w:val="aa"/>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A97B6F" w14:paraId="1AC9430B" w14:textId="77777777">
        <w:trPr>
          <w:trHeight w:val="4290"/>
        </w:trPr>
        <w:tc>
          <w:tcPr>
            <w:tcW w:w="9072" w:type="dxa"/>
            <w:shd w:val="clear" w:color="auto" w:fill="auto"/>
          </w:tcPr>
          <w:p w14:paraId="67130714" w14:textId="77777777" w:rsidR="00A97B6F" w:rsidRDefault="00A97B6F">
            <w:pPr>
              <w:pBdr>
                <w:top w:val="nil"/>
                <w:left w:val="nil"/>
                <w:bottom w:val="nil"/>
                <w:right w:val="nil"/>
                <w:between w:val="nil"/>
              </w:pBdr>
              <w:rPr>
                <w:rFonts w:ascii="Arial" w:eastAsia="Arial" w:hAnsi="Arial" w:cs="Arial"/>
                <w:color w:val="0000FF"/>
                <w:sz w:val="22"/>
                <w:szCs w:val="22"/>
              </w:rPr>
            </w:pPr>
          </w:p>
          <w:p w14:paraId="6003709E" w14:textId="77777777" w:rsidR="00A97B6F" w:rsidRDefault="00A97B6F">
            <w:pPr>
              <w:pBdr>
                <w:top w:val="nil"/>
                <w:left w:val="nil"/>
                <w:bottom w:val="nil"/>
                <w:right w:val="nil"/>
                <w:between w:val="nil"/>
              </w:pBdr>
              <w:rPr>
                <w:rFonts w:ascii="Arial" w:eastAsia="Arial" w:hAnsi="Arial" w:cs="Arial"/>
                <w:color w:val="0000FF"/>
                <w:sz w:val="22"/>
                <w:szCs w:val="22"/>
              </w:rPr>
            </w:pPr>
          </w:p>
          <w:p w14:paraId="7F043BE1" w14:textId="77777777" w:rsidR="00A97B6F" w:rsidRDefault="00A97B6F">
            <w:pPr>
              <w:pBdr>
                <w:top w:val="nil"/>
                <w:left w:val="nil"/>
                <w:bottom w:val="nil"/>
                <w:right w:val="nil"/>
                <w:between w:val="nil"/>
              </w:pBdr>
              <w:rPr>
                <w:rFonts w:ascii="Arial" w:eastAsia="Arial" w:hAnsi="Arial" w:cs="Arial"/>
                <w:color w:val="0000FF"/>
                <w:sz w:val="22"/>
                <w:szCs w:val="22"/>
              </w:rPr>
            </w:pPr>
          </w:p>
          <w:p w14:paraId="607A28D0" w14:textId="77777777" w:rsidR="00A97B6F" w:rsidRDefault="00A97B6F">
            <w:pPr>
              <w:pBdr>
                <w:top w:val="nil"/>
                <w:left w:val="nil"/>
                <w:bottom w:val="nil"/>
                <w:right w:val="nil"/>
                <w:between w:val="nil"/>
              </w:pBdr>
              <w:rPr>
                <w:rFonts w:ascii="Arial" w:eastAsia="Arial" w:hAnsi="Arial" w:cs="Arial"/>
                <w:color w:val="0000FF"/>
                <w:sz w:val="22"/>
                <w:szCs w:val="22"/>
              </w:rPr>
            </w:pPr>
          </w:p>
          <w:p w14:paraId="497C99FD" w14:textId="77777777" w:rsidR="00A97B6F" w:rsidRDefault="00A97B6F">
            <w:pPr>
              <w:pBdr>
                <w:top w:val="nil"/>
                <w:left w:val="nil"/>
                <w:bottom w:val="nil"/>
                <w:right w:val="nil"/>
                <w:between w:val="nil"/>
              </w:pBdr>
              <w:rPr>
                <w:rFonts w:ascii="Arial" w:eastAsia="Arial" w:hAnsi="Arial" w:cs="Arial"/>
                <w:color w:val="0000FF"/>
                <w:sz w:val="22"/>
                <w:szCs w:val="22"/>
              </w:rPr>
            </w:pPr>
          </w:p>
          <w:p w14:paraId="4C2C645D" w14:textId="77777777" w:rsidR="00A97B6F" w:rsidRDefault="00A97B6F">
            <w:pPr>
              <w:pBdr>
                <w:top w:val="nil"/>
                <w:left w:val="nil"/>
                <w:bottom w:val="nil"/>
                <w:right w:val="nil"/>
                <w:between w:val="nil"/>
              </w:pBdr>
              <w:rPr>
                <w:rFonts w:ascii="Arial" w:eastAsia="Arial" w:hAnsi="Arial" w:cs="Arial"/>
                <w:color w:val="0000FF"/>
                <w:sz w:val="22"/>
                <w:szCs w:val="22"/>
              </w:rPr>
            </w:pPr>
          </w:p>
          <w:p w14:paraId="5E131B60" w14:textId="77777777" w:rsidR="00A97B6F" w:rsidRDefault="00A97B6F">
            <w:pPr>
              <w:pBdr>
                <w:top w:val="nil"/>
                <w:left w:val="nil"/>
                <w:bottom w:val="nil"/>
                <w:right w:val="nil"/>
                <w:between w:val="nil"/>
              </w:pBdr>
              <w:rPr>
                <w:rFonts w:ascii="Arial" w:eastAsia="Arial" w:hAnsi="Arial" w:cs="Arial"/>
                <w:color w:val="0000FF"/>
                <w:sz w:val="22"/>
                <w:szCs w:val="22"/>
              </w:rPr>
            </w:pPr>
          </w:p>
          <w:p w14:paraId="1E0E18AE" w14:textId="77777777" w:rsidR="00A97B6F" w:rsidRDefault="00A97B6F">
            <w:pPr>
              <w:pBdr>
                <w:top w:val="nil"/>
                <w:left w:val="nil"/>
                <w:bottom w:val="nil"/>
                <w:right w:val="nil"/>
                <w:between w:val="nil"/>
              </w:pBdr>
              <w:rPr>
                <w:rFonts w:ascii="Arial" w:eastAsia="Arial" w:hAnsi="Arial" w:cs="Arial"/>
                <w:color w:val="0000FF"/>
                <w:sz w:val="22"/>
                <w:szCs w:val="22"/>
              </w:rPr>
            </w:pPr>
          </w:p>
          <w:p w14:paraId="1DD586C8" w14:textId="77777777" w:rsidR="00A97B6F" w:rsidRDefault="00A97B6F">
            <w:pPr>
              <w:pBdr>
                <w:top w:val="nil"/>
                <w:left w:val="nil"/>
                <w:bottom w:val="nil"/>
                <w:right w:val="nil"/>
                <w:between w:val="nil"/>
              </w:pBdr>
              <w:rPr>
                <w:rFonts w:ascii="Arial" w:eastAsia="Arial" w:hAnsi="Arial" w:cs="Arial"/>
                <w:color w:val="0000FF"/>
                <w:sz w:val="22"/>
                <w:szCs w:val="22"/>
              </w:rPr>
            </w:pPr>
          </w:p>
          <w:p w14:paraId="23A069A5" w14:textId="77777777" w:rsidR="00A97B6F" w:rsidRDefault="00A97B6F">
            <w:pPr>
              <w:pBdr>
                <w:top w:val="nil"/>
                <w:left w:val="nil"/>
                <w:bottom w:val="nil"/>
                <w:right w:val="nil"/>
                <w:between w:val="nil"/>
              </w:pBdr>
              <w:rPr>
                <w:rFonts w:ascii="Arial" w:eastAsia="Arial" w:hAnsi="Arial" w:cs="Arial"/>
                <w:color w:val="0000FF"/>
                <w:sz w:val="22"/>
                <w:szCs w:val="22"/>
              </w:rPr>
            </w:pPr>
          </w:p>
          <w:p w14:paraId="5C01A140" w14:textId="77777777" w:rsidR="00A97B6F" w:rsidRDefault="00A97B6F">
            <w:pPr>
              <w:pBdr>
                <w:top w:val="nil"/>
                <w:left w:val="nil"/>
                <w:bottom w:val="nil"/>
                <w:right w:val="nil"/>
                <w:between w:val="nil"/>
              </w:pBdr>
              <w:rPr>
                <w:rFonts w:ascii="Arial" w:eastAsia="Arial" w:hAnsi="Arial" w:cs="Arial"/>
                <w:color w:val="0000FF"/>
                <w:sz w:val="22"/>
                <w:szCs w:val="22"/>
              </w:rPr>
            </w:pPr>
          </w:p>
          <w:p w14:paraId="45940AF0" w14:textId="77777777" w:rsidR="00A97B6F" w:rsidRDefault="00A97B6F">
            <w:pPr>
              <w:pBdr>
                <w:top w:val="nil"/>
                <w:left w:val="nil"/>
                <w:bottom w:val="nil"/>
                <w:right w:val="nil"/>
                <w:between w:val="nil"/>
              </w:pBdr>
              <w:rPr>
                <w:rFonts w:ascii="Arial" w:eastAsia="Arial" w:hAnsi="Arial" w:cs="Arial"/>
                <w:color w:val="0000FF"/>
                <w:sz w:val="22"/>
                <w:szCs w:val="22"/>
              </w:rPr>
            </w:pPr>
          </w:p>
          <w:p w14:paraId="5B74683C" w14:textId="77777777" w:rsidR="00A97B6F" w:rsidRDefault="00A97B6F">
            <w:pPr>
              <w:pBdr>
                <w:top w:val="nil"/>
                <w:left w:val="nil"/>
                <w:bottom w:val="nil"/>
                <w:right w:val="nil"/>
                <w:between w:val="nil"/>
              </w:pBdr>
              <w:rPr>
                <w:rFonts w:ascii="Arial" w:eastAsia="Arial" w:hAnsi="Arial" w:cs="Arial"/>
                <w:color w:val="0000FF"/>
                <w:sz w:val="22"/>
                <w:szCs w:val="22"/>
              </w:rPr>
            </w:pPr>
          </w:p>
          <w:p w14:paraId="1BCFB7D7" w14:textId="77777777" w:rsidR="00A97B6F" w:rsidRDefault="00A97B6F">
            <w:pPr>
              <w:pBdr>
                <w:top w:val="nil"/>
                <w:left w:val="nil"/>
                <w:bottom w:val="nil"/>
                <w:right w:val="nil"/>
                <w:between w:val="nil"/>
              </w:pBdr>
              <w:rPr>
                <w:rFonts w:ascii="Arial" w:eastAsia="Arial" w:hAnsi="Arial" w:cs="Arial"/>
                <w:color w:val="0000FF"/>
                <w:sz w:val="22"/>
                <w:szCs w:val="22"/>
              </w:rPr>
            </w:pPr>
          </w:p>
          <w:p w14:paraId="0ACC781E" w14:textId="77777777" w:rsidR="00A97B6F" w:rsidRDefault="00A97B6F">
            <w:pPr>
              <w:pBdr>
                <w:top w:val="nil"/>
                <w:left w:val="nil"/>
                <w:bottom w:val="nil"/>
                <w:right w:val="nil"/>
                <w:between w:val="nil"/>
              </w:pBdr>
              <w:rPr>
                <w:rFonts w:ascii="Arial" w:eastAsia="Arial" w:hAnsi="Arial" w:cs="Arial"/>
                <w:color w:val="0000FF"/>
                <w:sz w:val="22"/>
                <w:szCs w:val="22"/>
              </w:rPr>
            </w:pPr>
          </w:p>
          <w:p w14:paraId="6128D589" w14:textId="77777777" w:rsidR="00A97B6F" w:rsidRDefault="00A97B6F">
            <w:pPr>
              <w:pBdr>
                <w:top w:val="nil"/>
                <w:left w:val="nil"/>
                <w:bottom w:val="nil"/>
                <w:right w:val="nil"/>
                <w:between w:val="nil"/>
              </w:pBdr>
              <w:rPr>
                <w:rFonts w:ascii="Arial" w:eastAsia="Arial" w:hAnsi="Arial" w:cs="Arial"/>
                <w:color w:val="0000FF"/>
                <w:sz w:val="22"/>
                <w:szCs w:val="22"/>
              </w:rPr>
            </w:pPr>
          </w:p>
          <w:p w14:paraId="7694E346" w14:textId="77777777" w:rsidR="00A97B6F" w:rsidRDefault="00A97B6F">
            <w:pPr>
              <w:pBdr>
                <w:top w:val="nil"/>
                <w:left w:val="nil"/>
                <w:bottom w:val="nil"/>
                <w:right w:val="nil"/>
                <w:between w:val="nil"/>
              </w:pBdr>
              <w:rPr>
                <w:rFonts w:ascii="Arial" w:eastAsia="Arial" w:hAnsi="Arial" w:cs="Arial"/>
                <w:color w:val="0000FF"/>
                <w:sz w:val="22"/>
                <w:szCs w:val="22"/>
              </w:rPr>
            </w:pPr>
          </w:p>
          <w:p w14:paraId="48DFF3F5" w14:textId="77777777" w:rsidR="00A97B6F" w:rsidRDefault="00A97B6F">
            <w:pPr>
              <w:pBdr>
                <w:top w:val="nil"/>
                <w:left w:val="nil"/>
                <w:bottom w:val="nil"/>
                <w:right w:val="nil"/>
                <w:between w:val="nil"/>
              </w:pBdr>
              <w:rPr>
                <w:rFonts w:ascii="Arial" w:eastAsia="Arial" w:hAnsi="Arial" w:cs="Arial"/>
                <w:color w:val="0000FF"/>
                <w:sz w:val="22"/>
                <w:szCs w:val="22"/>
              </w:rPr>
            </w:pPr>
          </w:p>
          <w:p w14:paraId="529EDDD6" w14:textId="77777777" w:rsidR="00A97B6F" w:rsidRDefault="00A97B6F">
            <w:pPr>
              <w:pBdr>
                <w:top w:val="nil"/>
                <w:left w:val="nil"/>
                <w:bottom w:val="nil"/>
                <w:right w:val="nil"/>
                <w:between w:val="nil"/>
              </w:pBdr>
              <w:rPr>
                <w:rFonts w:ascii="Arial" w:eastAsia="Arial" w:hAnsi="Arial" w:cs="Arial"/>
                <w:color w:val="0000FF"/>
                <w:sz w:val="22"/>
                <w:szCs w:val="22"/>
              </w:rPr>
            </w:pPr>
          </w:p>
          <w:p w14:paraId="33B140CC" w14:textId="77777777" w:rsidR="00A97B6F" w:rsidRDefault="00A97B6F">
            <w:pPr>
              <w:pBdr>
                <w:top w:val="nil"/>
                <w:left w:val="nil"/>
                <w:bottom w:val="nil"/>
                <w:right w:val="nil"/>
                <w:between w:val="nil"/>
              </w:pBdr>
              <w:rPr>
                <w:rFonts w:ascii="Arial" w:eastAsia="Arial" w:hAnsi="Arial" w:cs="Arial"/>
                <w:color w:val="0000FF"/>
                <w:sz w:val="22"/>
                <w:szCs w:val="22"/>
              </w:rPr>
            </w:pPr>
          </w:p>
          <w:p w14:paraId="320F94B9" w14:textId="77777777" w:rsidR="00A97B6F" w:rsidRDefault="00A97B6F">
            <w:pPr>
              <w:pBdr>
                <w:top w:val="nil"/>
                <w:left w:val="nil"/>
                <w:bottom w:val="nil"/>
                <w:right w:val="nil"/>
                <w:between w:val="nil"/>
              </w:pBdr>
              <w:rPr>
                <w:rFonts w:ascii="Arial" w:eastAsia="Arial" w:hAnsi="Arial" w:cs="Arial"/>
                <w:color w:val="0000FF"/>
                <w:sz w:val="22"/>
                <w:szCs w:val="22"/>
              </w:rPr>
            </w:pPr>
          </w:p>
        </w:tc>
      </w:tr>
    </w:tbl>
    <w:p w14:paraId="361DBB90" w14:textId="77777777" w:rsidR="00A97B6F" w:rsidRDefault="00A97B6F"/>
    <w:p w14:paraId="2DB1507D" w14:textId="77777777" w:rsidR="00A97B6F" w:rsidRDefault="009A0F19">
      <w:r>
        <w:br w:type="page"/>
      </w:r>
    </w:p>
    <w:p w14:paraId="0669A8B3" w14:textId="77777777" w:rsidR="00A97B6F" w:rsidRDefault="009A0F19">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rPr>
        <w:lastRenderedPageBreak/>
        <w:t>Part 3</w:t>
      </w:r>
      <w:r>
        <w:rPr>
          <w:rFonts w:ascii="Arial" w:eastAsia="Arial" w:hAnsi="Arial" w:cs="Arial"/>
          <w:b/>
          <w:color w:val="000000"/>
          <w:sz w:val="22"/>
          <w:szCs w:val="22"/>
        </w:rPr>
        <w:t>:</w:t>
      </w:r>
      <w:r>
        <w:rPr>
          <w:rFonts w:ascii="Arial" w:eastAsia="Arial" w:hAnsi="Arial" w:cs="Arial"/>
          <w:color w:val="000000"/>
          <w:sz w:val="22"/>
          <w:szCs w:val="22"/>
        </w:rPr>
        <w:t xml:space="preserve"> </w:t>
      </w:r>
      <w:r>
        <w:rPr>
          <w:rFonts w:ascii="Arial" w:eastAsia="Arial" w:hAnsi="Arial" w:cs="Arial"/>
          <w:b/>
          <w:color w:val="000000"/>
          <w:sz w:val="22"/>
          <w:szCs w:val="22"/>
          <w:u w:val="single"/>
        </w:rPr>
        <w:t>TAXONOMIC PROPOSAL</w:t>
      </w:r>
    </w:p>
    <w:p w14:paraId="1E7993FA" w14:textId="77777777" w:rsidR="00A97B6F" w:rsidRDefault="009A0F19">
      <w:pPr>
        <w:spacing w:before="120" w:after="120"/>
        <w:rPr>
          <w:rFonts w:ascii="Arial" w:eastAsia="Arial" w:hAnsi="Arial" w:cs="Arial"/>
          <w:b/>
        </w:rPr>
      </w:pPr>
      <w:r>
        <w:rPr>
          <w:rFonts w:ascii="Arial" w:eastAsia="Arial" w:hAnsi="Arial" w:cs="Arial"/>
          <w:b/>
        </w:rPr>
        <w:t>Name of accompanying Excel module</w:t>
      </w:r>
    </w:p>
    <w:tbl>
      <w:tblPr>
        <w:tblStyle w:val="ab"/>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A97B6F" w14:paraId="4ACDDF2D" w14:textId="77777777">
        <w:tc>
          <w:tcPr>
            <w:tcW w:w="9072" w:type="dxa"/>
            <w:shd w:val="clear" w:color="auto" w:fill="auto"/>
          </w:tcPr>
          <w:p w14:paraId="392E9318" w14:textId="5B301813" w:rsidR="00A97B6F" w:rsidRDefault="009A0F19">
            <w:pPr>
              <w:rPr>
                <w:rFonts w:ascii="Arial" w:eastAsia="Arial" w:hAnsi="Arial" w:cs="Arial"/>
              </w:rPr>
            </w:pPr>
            <w:r>
              <w:rPr>
                <w:rFonts w:ascii="Arial" w:eastAsia="Arial" w:hAnsi="Arial" w:cs="Arial"/>
              </w:rPr>
              <w:t>2022.002B.</w:t>
            </w:r>
            <w:r w:rsidR="00AB3DBA">
              <w:rPr>
                <w:rFonts w:ascii="Arial" w:eastAsia="Arial" w:hAnsi="Arial" w:cs="Arial"/>
              </w:rPr>
              <w:t>A</w:t>
            </w:r>
            <w:r>
              <w:rPr>
                <w:rFonts w:ascii="Arial" w:eastAsia="Arial" w:hAnsi="Arial" w:cs="Arial"/>
              </w:rPr>
              <w:t>.v</w:t>
            </w:r>
            <w:r w:rsidR="00AB3DBA">
              <w:rPr>
                <w:rFonts w:ascii="Arial" w:eastAsia="Arial" w:hAnsi="Arial" w:cs="Arial"/>
              </w:rPr>
              <w:t>1</w:t>
            </w:r>
            <w:r>
              <w:rPr>
                <w:rFonts w:ascii="Arial" w:eastAsia="Arial" w:hAnsi="Arial" w:cs="Arial"/>
              </w:rPr>
              <w:t>.Ainoaviricetes_Finnlakeviridae_nc.xlsx</w:t>
            </w:r>
          </w:p>
        </w:tc>
      </w:tr>
    </w:tbl>
    <w:p w14:paraId="56F7AAEC" w14:textId="77777777" w:rsidR="00A97B6F" w:rsidRDefault="009A0F19">
      <w:pPr>
        <w:spacing w:before="120" w:after="120"/>
        <w:rPr>
          <w:rFonts w:ascii="Arial" w:eastAsia="Arial" w:hAnsi="Arial" w:cs="Arial"/>
          <w:color w:val="0000FF"/>
          <w:sz w:val="20"/>
          <w:szCs w:val="20"/>
        </w:rPr>
      </w:pPr>
      <w:r>
        <w:rPr>
          <w:rFonts w:ascii="Arial" w:eastAsia="Arial" w:hAnsi="Arial" w:cs="Arial"/>
          <w:b/>
        </w:rPr>
        <w:t>Abstract</w:t>
      </w:r>
    </w:p>
    <w:tbl>
      <w:tblPr>
        <w:tblStyle w:val="ac"/>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A97B6F" w14:paraId="2DDDDC3F" w14:textId="77777777">
        <w:tc>
          <w:tcPr>
            <w:tcW w:w="9072" w:type="dxa"/>
            <w:shd w:val="clear" w:color="auto" w:fill="auto"/>
          </w:tcPr>
          <w:p w14:paraId="7664F6F3" w14:textId="77777777" w:rsidR="00A97B6F" w:rsidRDefault="00A97B6F">
            <w:pPr>
              <w:pBdr>
                <w:top w:val="nil"/>
                <w:left w:val="nil"/>
                <w:bottom w:val="nil"/>
                <w:right w:val="nil"/>
                <w:between w:val="nil"/>
              </w:pBdr>
              <w:rPr>
                <w:rFonts w:ascii="Times" w:eastAsia="Times" w:hAnsi="Times" w:cs="Times"/>
                <w:color w:val="000000"/>
                <w:sz w:val="22"/>
                <w:szCs w:val="22"/>
              </w:rPr>
            </w:pPr>
          </w:p>
          <w:p w14:paraId="1A62B29A" w14:textId="77777777" w:rsidR="00A97B6F" w:rsidRDefault="009A0F19">
            <w:pPr>
              <w:spacing w:line="257" w:lineRule="auto"/>
              <w:rPr>
                <w:rFonts w:ascii="Arial" w:eastAsia="Arial" w:hAnsi="Arial" w:cs="Arial"/>
                <w:sz w:val="22"/>
                <w:szCs w:val="22"/>
              </w:rPr>
            </w:pPr>
            <w:r>
              <w:rPr>
                <w:rFonts w:ascii="Arial" w:eastAsia="Arial" w:hAnsi="Arial" w:cs="Arial"/>
                <w:sz w:val="22"/>
                <w:szCs w:val="22"/>
              </w:rPr>
              <w:t xml:space="preserve">The unassigned family </w:t>
            </w:r>
            <w:r>
              <w:rPr>
                <w:rFonts w:ascii="Arial" w:eastAsia="Arial" w:hAnsi="Arial" w:cs="Arial"/>
                <w:i/>
                <w:sz w:val="22"/>
                <w:szCs w:val="22"/>
              </w:rPr>
              <w:t>Finnlakeviridae</w:t>
            </w:r>
            <w:r>
              <w:rPr>
                <w:rFonts w:ascii="Arial" w:eastAsia="Arial" w:hAnsi="Arial" w:cs="Arial"/>
                <w:sz w:val="22"/>
                <w:szCs w:val="22"/>
              </w:rPr>
              <w:t xml:space="preserve"> currently includes a single genus </w:t>
            </w:r>
            <w:r>
              <w:rPr>
                <w:rFonts w:ascii="Arial" w:eastAsia="Arial" w:hAnsi="Arial" w:cs="Arial"/>
                <w:i/>
                <w:sz w:val="22"/>
                <w:szCs w:val="22"/>
              </w:rPr>
              <w:t xml:space="preserve">Finnlakevirus </w:t>
            </w:r>
            <w:r>
              <w:rPr>
                <w:rFonts w:ascii="Arial" w:eastAsia="Arial" w:hAnsi="Arial" w:cs="Arial"/>
                <w:sz w:val="22"/>
                <w:szCs w:val="22"/>
              </w:rPr>
              <w:t xml:space="preserve">and one species </w:t>
            </w:r>
            <w:r>
              <w:rPr>
                <w:rFonts w:ascii="Arial" w:eastAsia="Arial" w:hAnsi="Arial" w:cs="Arial"/>
                <w:i/>
                <w:sz w:val="22"/>
                <w:szCs w:val="22"/>
              </w:rPr>
              <w:t>Finnlakevirus FLiP</w:t>
            </w:r>
            <w:r>
              <w:rPr>
                <w:rFonts w:ascii="Arial" w:eastAsia="Arial" w:hAnsi="Arial" w:cs="Arial"/>
                <w:sz w:val="22"/>
                <w:szCs w:val="22"/>
              </w:rPr>
              <w:t xml:space="preserve">. Members of the family have a single-stranded DNA genome and encode a major capsid protein (MCP) that has a vertical double jelly roll (DJR) topology. In the ICTV classification, DNA viruses that encode a MCP with a vertical jelly roll fold are assigned to the </w:t>
            </w:r>
            <w:r>
              <w:rPr>
                <w:rFonts w:ascii="Arial" w:eastAsia="Arial" w:hAnsi="Arial" w:cs="Arial"/>
                <w:i/>
                <w:sz w:val="22"/>
                <w:szCs w:val="22"/>
              </w:rPr>
              <w:t>Varidnaviria</w:t>
            </w:r>
            <w:r>
              <w:rPr>
                <w:rFonts w:ascii="Arial" w:eastAsia="Arial" w:hAnsi="Arial" w:cs="Arial"/>
                <w:sz w:val="22"/>
                <w:szCs w:val="22"/>
              </w:rPr>
              <w:t xml:space="preserve"> realm whose current members are dsDNA viruses. The realm is divided into two kingdoms: </w:t>
            </w:r>
            <w:r>
              <w:rPr>
                <w:rFonts w:ascii="Arial" w:eastAsia="Arial" w:hAnsi="Arial" w:cs="Arial"/>
                <w:i/>
                <w:sz w:val="22"/>
                <w:szCs w:val="22"/>
              </w:rPr>
              <w:t>Bamfordvirae</w:t>
            </w:r>
            <w:r>
              <w:rPr>
                <w:rFonts w:ascii="Arial" w:eastAsia="Arial" w:hAnsi="Arial" w:cs="Arial"/>
                <w:sz w:val="22"/>
                <w:szCs w:val="22"/>
              </w:rPr>
              <w:t>, characterized by a single MCP with a DJR fold, and</w:t>
            </w:r>
            <w:r>
              <w:rPr>
                <w:rFonts w:ascii="Arial" w:eastAsia="Arial" w:hAnsi="Arial" w:cs="Arial"/>
                <w:i/>
                <w:sz w:val="22"/>
                <w:szCs w:val="22"/>
              </w:rPr>
              <w:t xml:space="preserve"> Helvetiavirae,</w:t>
            </w:r>
            <w:r>
              <w:rPr>
                <w:rFonts w:ascii="Arial" w:eastAsia="Arial" w:hAnsi="Arial" w:cs="Arial"/>
                <w:sz w:val="22"/>
                <w:szCs w:val="22"/>
              </w:rPr>
              <w:t xml:space="preserve"> characterized by two MCPs, both containing a single jelly roll fold. Thus, ssDNA viruses with DJR MCP topology should be accommodated in the kingdom </w:t>
            </w:r>
            <w:r>
              <w:rPr>
                <w:rFonts w:ascii="Arial" w:eastAsia="Arial" w:hAnsi="Arial" w:cs="Arial"/>
                <w:i/>
                <w:sz w:val="22"/>
                <w:szCs w:val="22"/>
              </w:rPr>
              <w:t>Bamfordvirae.</w:t>
            </w:r>
            <w:r>
              <w:rPr>
                <w:rFonts w:ascii="Arial" w:eastAsia="Arial" w:hAnsi="Arial" w:cs="Arial"/>
                <w:sz w:val="22"/>
                <w:szCs w:val="22"/>
              </w:rPr>
              <w:t xml:space="preserve"> Here we propose to create a new class </w:t>
            </w:r>
            <w:r>
              <w:rPr>
                <w:rFonts w:ascii="Arial" w:eastAsia="Arial" w:hAnsi="Arial" w:cs="Arial"/>
                <w:i/>
                <w:sz w:val="22"/>
                <w:szCs w:val="22"/>
              </w:rPr>
              <w:t>Ainoaviricetes</w:t>
            </w:r>
            <w:r>
              <w:rPr>
                <w:rFonts w:ascii="Arial" w:eastAsia="Arial" w:hAnsi="Arial" w:cs="Arial"/>
                <w:sz w:val="22"/>
                <w:szCs w:val="22"/>
              </w:rPr>
              <w:t xml:space="preserve"> and a new order </w:t>
            </w:r>
            <w:r>
              <w:rPr>
                <w:rFonts w:ascii="Arial" w:eastAsia="Arial" w:hAnsi="Arial" w:cs="Arial"/>
                <w:i/>
                <w:sz w:val="22"/>
                <w:szCs w:val="22"/>
              </w:rPr>
              <w:t>Lautamovirales</w:t>
            </w:r>
            <w:r>
              <w:rPr>
                <w:rFonts w:ascii="Arial" w:eastAsia="Arial" w:hAnsi="Arial" w:cs="Arial"/>
                <w:sz w:val="22"/>
                <w:szCs w:val="22"/>
              </w:rPr>
              <w:t xml:space="preserve"> in the phylum </w:t>
            </w:r>
            <w:r>
              <w:rPr>
                <w:rFonts w:ascii="Arial" w:eastAsia="Arial" w:hAnsi="Arial" w:cs="Arial"/>
                <w:i/>
                <w:sz w:val="22"/>
                <w:szCs w:val="22"/>
              </w:rPr>
              <w:t>Preplasmiviricota</w:t>
            </w:r>
            <w:r>
              <w:rPr>
                <w:rFonts w:ascii="Arial" w:eastAsia="Arial" w:hAnsi="Arial" w:cs="Arial"/>
                <w:sz w:val="22"/>
                <w:szCs w:val="22"/>
              </w:rPr>
              <w:t xml:space="preserve"> (comprising the members with smaller virion size in the kingdom </w:t>
            </w:r>
            <w:r>
              <w:rPr>
                <w:rFonts w:ascii="Arial" w:eastAsia="Arial" w:hAnsi="Arial" w:cs="Arial"/>
                <w:i/>
                <w:sz w:val="22"/>
                <w:szCs w:val="22"/>
              </w:rPr>
              <w:t>Bamfordvirae)</w:t>
            </w:r>
            <w:r>
              <w:rPr>
                <w:rFonts w:ascii="Arial" w:eastAsia="Arial" w:hAnsi="Arial" w:cs="Arial"/>
                <w:sz w:val="22"/>
                <w:szCs w:val="22"/>
              </w:rPr>
              <w:t>, for single-stranded DNA viruses encoding double jelly roll-type MCPs.</w:t>
            </w:r>
          </w:p>
          <w:p w14:paraId="576A8E31" w14:textId="77777777" w:rsidR="00A97B6F" w:rsidRDefault="00A97B6F">
            <w:pPr>
              <w:rPr>
                <w:rFonts w:ascii="Arial" w:eastAsia="Arial" w:hAnsi="Arial" w:cs="Arial"/>
                <w:b/>
                <w:sz w:val="22"/>
                <w:szCs w:val="22"/>
              </w:rPr>
            </w:pPr>
          </w:p>
        </w:tc>
      </w:tr>
    </w:tbl>
    <w:p w14:paraId="33572CB0" w14:textId="77777777" w:rsidR="00A97B6F" w:rsidRDefault="009A0F19">
      <w:pPr>
        <w:pBdr>
          <w:top w:val="nil"/>
          <w:left w:val="nil"/>
          <w:bottom w:val="nil"/>
          <w:right w:val="nil"/>
          <w:between w:val="nil"/>
        </w:pBdr>
        <w:spacing w:before="120" w:after="120"/>
        <w:rPr>
          <w:rFonts w:ascii="Times" w:eastAsia="Times" w:hAnsi="Times" w:cs="Times"/>
          <w:b/>
          <w:color w:val="000000"/>
        </w:rPr>
      </w:pPr>
      <w:r>
        <w:rPr>
          <w:rFonts w:ascii="Arial" w:eastAsia="Arial" w:hAnsi="Arial" w:cs="Arial"/>
          <w:b/>
          <w:color w:val="000000"/>
        </w:rPr>
        <w:t>Text of proposal</w:t>
      </w:r>
    </w:p>
    <w:tbl>
      <w:tblPr>
        <w:tblStyle w:val="ad"/>
        <w:tblW w:w="9228" w:type="dxa"/>
        <w:tblLayout w:type="fixed"/>
        <w:tblLook w:val="0400" w:firstRow="0" w:lastRow="0" w:firstColumn="0" w:lastColumn="0" w:noHBand="0" w:noVBand="1"/>
      </w:tblPr>
      <w:tblGrid>
        <w:gridCol w:w="9228"/>
      </w:tblGrid>
      <w:tr w:rsidR="00A97B6F" w14:paraId="04CB752C" w14:textId="77777777">
        <w:trPr>
          <w:trHeight w:val="1566"/>
        </w:trPr>
        <w:tc>
          <w:tcPr>
            <w:tcW w:w="9228" w:type="dxa"/>
            <w:shd w:val="clear" w:color="auto" w:fill="auto"/>
          </w:tcPr>
          <w:p w14:paraId="325A2093" w14:textId="77777777" w:rsidR="00A97B6F" w:rsidRDefault="00A97B6F">
            <w:pPr>
              <w:widowControl w:val="0"/>
              <w:pBdr>
                <w:top w:val="nil"/>
                <w:left w:val="nil"/>
                <w:bottom w:val="nil"/>
                <w:right w:val="nil"/>
                <w:between w:val="nil"/>
              </w:pBdr>
              <w:spacing w:line="276" w:lineRule="auto"/>
              <w:rPr>
                <w:rFonts w:ascii="Times" w:eastAsia="Times" w:hAnsi="Times" w:cs="Times"/>
                <w:b/>
                <w:color w:val="000000"/>
              </w:rPr>
            </w:pPr>
          </w:p>
          <w:tbl>
            <w:tblPr>
              <w:tblStyle w:val="ae"/>
              <w:tblW w:w="9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2"/>
            </w:tblGrid>
            <w:tr w:rsidR="00A97B6F" w14:paraId="5CBAE3B3" w14:textId="77777777">
              <w:tc>
                <w:tcPr>
                  <w:tcW w:w="9002" w:type="dxa"/>
                  <w:shd w:val="clear" w:color="auto" w:fill="auto"/>
                </w:tcPr>
                <w:p w14:paraId="46A06990" w14:textId="77777777" w:rsidR="00A97B6F" w:rsidRDefault="00A97B6F">
                  <w:pPr>
                    <w:rPr>
                      <w:rFonts w:ascii="Arial" w:eastAsia="Arial" w:hAnsi="Arial" w:cs="Arial"/>
                      <w:color w:val="0000FF"/>
                      <w:sz w:val="22"/>
                      <w:szCs w:val="22"/>
                    </w:rPr>
                  </w:pPr>
                </w:p>
                <w:p w14:paraId="12FEA211" w14:textId="77777777" w:rsidR="00A97B6F" w:rsidRDefault="009A0F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Flavobacterium phage FLiP is the first described single-stranded DNA (ssDNA) virus with an icosahedrally symmetric capsid and an internal membrane (Laanto et al., 2017). The size of the virion is about 60 nm. FLiP is currently the only described ssDNA virus that encodes a major capsid protein (MCP) with a vertical double jelly roll (DJR) topology (Figure 1). However, genomic and metagenomic database searches have identified a group of contigs encoding homologs of the FLiP MCP, along with a variant of a replication protein homologous to rolling-circle replication endonuclease (RCRE) in filamentous ssDNA viruses (M13-like inoviruses) (Yutin et al., 2018), indicating the presence of ssDNA viruses with DJR MCP in the sequenced environmental samples. </w:t>
                  </w:r>
                </w:p>
                <w:p w14:paraId="4D9C171A" w14:textId="77777777" w:rsidR="00A97B6F" w:rsidRDefault="00A97B6F">
                  <w:pPr>
                    <w:pBdr>
                      <w:top w:val="nil"/>
                      <w:left w:val="nil"/>
                      <w:bottom w:val="nil"/>
                      <w:right w:val="nil"/>
                      <w:between w:val="nil"/>
                    </w:pBdr>
                    <w:rPr>
                      <w:rFonts w:ascii="Arial" w:eastAsia="Arial" w:hAnsi="Arial" w:cs="Arial"/>
                      <w:color w:val="000000"/>
                      <w:sz w:val="22"/>
                      <w:szCs w:val="22"/>
                    </w:rPr>
                  </w:pPr>
                </w:p>
                <w:p w14:paraId="782F31BC" w14:textId="77777777" w:rsidR="00A97B6F" w:rsidRDefault="009A0F19">
                  <w:pPr>
                    <w:pBdr>
                      <w:top w:val="nil"/>
                      <w:left w:val="nil"/>
                      <w:bottom w:val="nil"/>
                      <w:right w:val="nil"/>
                      <w:between w:val="nil"/>
                    </w:pBdr>
                    <w:rPr>
                      <w:rFonts w:ascii="Arial" w:eastAsia="Arial" w:hAnsi="Arial" w:cs="Arial"/>
                      <w:i/>
                      <w:color w:val="000000"/>
                      <w:sz w:val="22"/>
                      <w:szCs w:val="22"/>
                    </w:rPr>
                  </w:pPr>
                  <w:r>
                    <w:rPr>
                      <w:rFonts w:ascii="Arial" w:eastAsia="Arial" w:hAnsi="Arial" w:cs="Arial"/>
                      <w:color w:val="000000"/>
                      <w:sz w:val="22"/>
                      <w:szCs w:val="22"/>
                    </w:rPr>
                    <w:t xml:space="preserve">The unassigned family </w:t>
                  </w:r>
                  <w:r>
                    <w:rPr>
                      <w:rFonts w:ascii="Arial" w:eastAsia="Arial" w:hAnsi="Arial" w:cs="Arial"/>
                      <w:i/>
                      <w:color w:val="000000"/>
                      <w:sz w:val="22"/>
                      <w:szCs w:val="22"/>
                    </w:rPr>
                    <w:t>Finnlakeviridae</w:t>
                  </w:r>
                  <w:r>
                    <w:rPr>
                      <w:rFonts w:ascii="Arial" w:eastAsia="Arial" w:hAnsi="Arial" w:cs="Arial"/>
                      <w:color w:val="000000"/>
                      <w:sz w:val="22"/>
                      <w:szCs w:val="22"/>
                    </w:rPr>
                    <w:t xml:space="preserve"> currently includes a single genus </w:t>
                  </w:r>
                  <w:r>
                    <w:rPr>
                      <w:rFonts w:ascii="Arial" w:eastAsia="Arial" w:hAnsi="Arial" w:cs="Arial"/>
                      <w:i/>
                      <w:color w:val="000000"/>
                      <w:sz w:val="22"/>
                      <w:szCs w:val="22"/>
                    </w:rPr>
                    <w:t xml:space="preserve">Finnlakevirus </w:t>
                  </w:r>
                  <w:r>
                    <w:rPr>
                      <w:rFonts w:ascii="Arial" w:eastAsia="Arial" w:hAnsi="Arial" w:cs="Arial"/>
                      <w:color w:val="000000"/>
                      <w:sz w:val="22"/>
                      <w:szCs w:val="22"/>
                    </w:rPr>
                    <w:t xml:space="preserve">and one species </w:t>
                  </w:r>
                  <w:r>
                    <w:rPr>
                      <w:rFonts w:ascii="Arial" w:eastAsia="Arial" w:hAnsi="Arial" w:cs="Arial"/>
                      <w:i/>
                      <w:color w:val="000000"/>
                      <w:sz w:val="22"/>
                      <w:szCs w:val="22"/>
                    </w:rPr>
                    <w:t xml:space="preserve">Finnlakevirus FLiP </w:t>
                  </w:r>
                  <w:r>
                    <w:rPr>
                      <w:rFonts w:ascii="Arial" w:eastAsia="Arial" w:hAnsi="Arial" w:cs="Arial"/>
                      <w:color w:val="000000"/>
                      <w:sz w:val="22"/>
                      <w:szCs w:val="22"/>
                    </w:rPr>
                    <w:t xml:space="preserve">(Mäntynen et al., 2020). Members of the family have a ssDNA genome and encode a MCP that has a vertical DJR topology and arranges into pseudohexameric trimers (Laanto et al., 2017; Mäntynen et al., 2020). In the ICTV classification, DNA viruses that encode a MCP with a vertical jelly roll fold are assigned to the </w:t>
                  </w:r>
                  <w:r>
                    <w:rPr>
                      <w:rFonts w:ascii="Arial" w:eastAsia="Arial" w:hAnsi="Arial" w:cs="Arial"/>
                      <w:i/>
                      <w:color w:val="000000"/>
                      <w:sz w:val="22"/>
                      <w:szCs w:val="22"/>
                    </w:rPr>
                    <w:t>Varidnaviria</w:t>
                  </w:r>
                  <w:r>
                    <w:rPr>
                      <w:rFonts w:ascii="Arial" w:eastAsia="Arial" w:hAnsi="Arial" w:cs="Arial"/>
                      <w:color w:val="000000"/>
                      <w:sz w:val="22"/>
                      <w:szCs w:val="22"/>
                    </w:rPr>
                    <w:t xml:space="preserve"> realm. In fact, in the taxonomy proposal for </w:t>
                  </w:r>
                  <w:r>
                    <w:rPr>
                      <w:rFonts w:ascii="Arial" w:eastAsia="Arial" w:hAnsi="Arial" w:cs="Arial"/>
                      <w:i/>
                      <w:color w:val="000000"/>
                      <w:sz w:val="22"/>
                      <w:szCs w:val="22"/>
                    </w:rPr>
                    <w:t xml:space="preserve">Varidnaviria </w:t>
                  </w:r>
                  <w:r>
                    <w:rPr>
                      <w:rFonts w:ascii="Arial" w:eastAsia="Arial" w:hAnsi="Arial" w:cs="Arial"/>
                      <w:color w:val="000000"/>
                      <w:sz w:val="22"/>
                      <w:szCs w:val="22"/>
                    </w:rPr>
                    <w:t>(Koonin et al., 2019, ratified 2020)</w:t>
                  </w:r>
                  <w:r>
                    <w:rPr>
                      <w:rFonts w:ascii="Arial" w:eastAsia="Arial" w:hAnsi="Arial" w:cs="Arial"/>
                      <w:i/>
                      <w:color w:val="000000"/>
                      <w:sz w:val="22"/>
                      <w:szCs w:val="22"/>
                    </w:rPr>
                    <w:t>,</w:t>
                  </w:r>
                  <w:r>
                    <w:rPr>
                      <w:rFonts w:ascii="Arial" w:eastAsia="Arial" w:hAnsi="Arial" w:cs="Arial"/>
                      <w:color w:val="000000"/>
                      <w:sz w:val="22"/>
                      <w:szCs w:val="22"/>
                    </w:rPr>
                    <w:t xml:space="preserve"> it was emphasized that </w:t>
                  </w:r>
                  <w:r>
                    <w:rPr>
                      <w:rFonts w:ascii="Arial" w:eastAsia="Arial" w:hAnsi="Arial" w:cs="Arial"/>
                      <w:i/>
                      <w:color w:val="000000"/>
                      <w:sz w:val="22"/>
                      <w:szCs w:val="22"/>
                    </w:rPr>
                    <w:t>Finnlakeviridae</w:t>
                  </w:r>
                  <w:r>
                    <w:rPr>
                      <w:rFonts w:ascii="Arial" w:eastAsia="Arial" w:hAnsi="Arial" w:cs="Arial"/>
                      <w:color w:val="000000"/>
                      <w:sz w:val="22"/>
                      <w:szCs w:val="22"/>
                    </w:rPr>
                    <w:t xml:space="preserve"> should be accommodated in the megataxonomic framework of DNA viruses with a DJR MCP in the realm </w:t>
                  </w:r>
                  <w:r>
                    <w:rPr>
                      <w:rFonts w:ascii="Arial" w:eastAsia="Arial" w:hAnsi="Arial" w:cs="Arial"/>
                      <w:i/>
                      <w:color w:val="000000"/>
                      <w:sz w:val="22"/>
                      <w:szCs w:val="22"/>
                    </w:rPr>
                    <w:t xml:space="preserve">Varidnaviria </w:t>
                  </w:r>
                  <w:r>
                    <w:rPr>
                      <w:rFonts w:ascii="Arial" w:eastAsia="Arial" w:hAnsi="Arial" w:cs="Arial"/>
                      <w:color w:val="000000"/>
                      <w:sz w:val="22"/>
                      <w:szCs w:val="22"/>
                    </w:rPr>
                    <w:t xml:space="preserve">(Koonin et al., 2019).  All current members of the realm </w:t>
                  </w:r>
                  <w:r>
                    <w:rPr>
                      <w:rFonts w:ascii="Arial" w:eastAsia="Arial" w:hAnsi="Arial" w:cs="Arial"/>
                      <w:i/>
                      <w:color w:val="000000"/>
                      <w:sz w:val="22"/>
                      <w:szCs w:val="22"/>
                    </w:rPr>
                    <w:t>Varidnaviria</w:t>
                  </w:r>
                  <w:r>
                    <w:rPr>
                      <w:rFonts w:ascii="Arial" w:eastAsia="Arial" w:hAnsi="Arial" w:cs="Arial"/>
                      <w:color w:val="000000"/>
                      <w:sz w:val="22"/>
                      <w:szCs w:val="22"/>
                    </w:rPr>
                    <w:t xml:space="preserve"> are dsDNA viruses. The realm is divided into two kingdoms: </w:t>
                  </w:r>
                  <w:r>
                    <w:rPr>
                      <w:rFonts w:ascii="Arial" w:eastAsia="Arial" w:hAnsi="Arial" w:cs="Arial"/>
                      <w:i/>
                      <w:color w:val="000000"/>
                      <w:sz w:val="22"/>
                      <w:szCs w:val="22"/>
                    </w:rPr>
                    <w:t>Bamfordvirae</w:t>
                  </w:r>
                  <w:r>
                    <w:rPr>
                      <w:rFonts w:ascii="Arial" w:eastAsia="Arial" w:hAnsi="Arial" w:cs="Arial"/>
                      <w:color w:val="000000"/>
                      <w:sz w:val="22"/>
                      <w:szCs w:val="22"/>
                    </w:rPr>
                    <w:t>, characterized by a single MCP with a DJR fold, and</w:t>
                  </w:r>
                  <w:r>
                    <w:rPr>
                      <w:rFonts w:ascii="Arial" w:eastAsia="Arial" w:hAnsi="Arial" w:cs="Arial"/>
                      <w:i/>
                      <w:color w:val="000000"/>
                      <w:sz w:val="22"/>
                      <w:szCs w:val="22"/>
                    </w:rPr>
                    <w:t xml:space="preserve"> Helvetiavirae,</w:t>
                  </w:r>
                  <w:r>
                    <w:rPr>
                      <w:rFonts w:ascii="Arial" w:eastAsia="Arial" w:hAnsi="Arial" w:cs="Arial"/>
                      <w:color w:val="000000"/>
                      <w:sz w:val="22"/>
                      <w:szCs w:val="22"/>
                    </w:rPr>
                    <w:t xml:space="preserve"> characterized by two MCPs, both containing a single jelly roll fold (Koonin et al., 2020; Woo et al., 2021). Members of the kingdom </w:t>
                  </w:r>
                  <w:r>
                    <w:rPr>
                      <w:rFonts w:ascii="Arial" w:eastAsia="Arial" w:hAnsi="Arial" w:cs="Arial"/>
                      <w:i/>
                      <w:color w:val="000000"/>
                      <w:sz w:val="22"/>
                      <w:szCs w:val="22"/>
                    </w:rPr>
                    <w:t>Bamfordvirae</w:t>
                  </w:r>
                  <w:r>
                    <w:rPr>
                      <w:rFonts w:ascii="Arial" w:eastAsia="Arial" w:hAnsi="Arial" w:cs="Arial"/>
                      <w:color w:val="000000"/>
                      <w:sz w:val="22"/>
                      <w:szCs w:val="22"/>
                    </w:rPr>
                    <w:t xml:space="preserve"> vary notably in size.</w:t>
                  </w:r>
                  <w:r>
                    <w:rPr>
                      <w:rFonts w:ascii="Arial" w:eastAsia="Arial" w:hAnsi="Arial" w:cs="Arial"/>
                      <w:i/>
                      <w:color w:val="000000"/>
                      <w:sz w:val="22"/>
                      <w:szCs w:val="22"/>
                    </w:rPr>
                    <w:t xml:space="preserve"> </w:t>
                  </w:r>
                  <w:r>
                    <w:rPr>
                      <w:rFonts w:ascii="Arial" w:eastAsia="Arial" w:hAnsi="Arial" w:cs="Arial"/>
                      <w:color w:val="000000"/>
                      <w:sz w:val="22"/>
                      <w:szCs w:val="22"/>
                    </w:rPr>
                    <w:t xml:space="preserve">In the current ICTV taxonomy, </w:t>
                  </w:r>
                  <w:r>
                    <w:rPr>
                      <w:rFonts w:ascii="Arial" w:eastAsia="Arial" w:hAnsi="Arial" w:cs="Arial"/>
                      <w:i/>
                      <w:color w:val="000000"/>
                      <w:sz w:val="22"/>
                      <w:szCs w:val="22"/>
                    </w:rPr>
                    <w:t>Bamfordvirae</w:t>
                  </w:r>
                  <w:r>
                    <w:rPr>
                      <w:rFonts w:ascii="Arial" w:eastAsia="Arial" w:hAnsi="Arial" w:cs="Arial"/>
                      <w:color w:val="000000"/>
                      <w:sz w:val="22"/>
                      <w:szCs w:val="22"/>
                    </w:rPr>
                    <w:t xml:space="preserve"> has been divided into two phyla: </w:t>
                  </w:r>
                  <w:r>
                    <w:rPr>
                      <w:rFonts w:ascii="Arial" w:eastAsia="Arial" w:hAnsi="Arial" w:cs="Arial"/>
                      <w:i/>
                      <w:color w:val="000000"/>
                      <w:sz w:val="22"/>
                      <w:szCs w:val="22"/>
                    </w:rPr>
                    <w:t xml:space="preserve">Nucleocytoviricota, </w:t>
                  </w:r>
                  <w:r>
                    <w:rPr>
                      <w:rFonts w:ascii="Arial" w:eastAsia="Arial" w:hAnsi="Arial" w:cs="Arial"/>
                      <w:color w:val="000000"/>
                      <w:sz w:val="22"/>
                      <w:szCs w:val="22"/>
                    </w:rPr>
                    <w:t>comprising giant viruses of the kingdom,</w:t>
                  </w:r>
                  <w:r>
                    <w:rPr>
                      <w:rFonts w:ascii="Arial" w:eastAsia="Arial" w:hAnsi="Arial" w:cs="Arial"/>
                      <w:i/>
                      <w:color w:val="000000"/>
                      <w:sz w:val="22"/>
                      <w:szCs w:val="22"/>
                    </w:rPr>
                    <w:t xml:space="preserve"> </w:t>
                  </w:r>
                  <w:r>
                    <w:rPr>
                      <w:rFonts w:ascii="Arial" w:eastAsia="Arial" w:hAnsi="Arial" w:cs="Arial"/>
                      <w:color w:val="000000"/>
                      <w:sz w:val="22"/>
                      <w:szCs w:val="22"/>
                    </w:rPr>
                    <w:t xml:space="preserve">and </w:t>
                  </w:r>
                  <w:r>
                    <w:rPr>
                      <w:rFonts w:ascii="Arial" w:eastAsia="Arial" w:hAnsi="Arial" w:cs="Arial"/>
                      <w:i/>
                      <w:color w:val="000000"/>
                      <w:sz w:val="22"/>
                      <w:szCs w:val="22"/>
                    </w:rPr>
                    <w:t>Preplasmiviricota,</w:t>
                  </w:r>
                  <w:r>
                    <w:rPr>
                      <w:rFonts w:ascii="Arial" w:eastAsia="Arial" w:hAnsi="Arial" w:cs="Arial"/>
                      <w:color w:val="000000"/>
                      <w:sz w:val="22"/>
                      <w:szCs w:val="22"/>
                    </w:rPr>
                    <w:t xml:space="preserve"> including those members of the kingdom that have smaller virions. Phylum</w:t>
                  </w:r>
                  <w:r>
                    <w:rPr>
                      <w:rFonts w:ascii="Arial" w:eastAsia="Arial" w:hAnsi="Arial" w:cs="Arial"/>
                      <w:i/>
                      <w:color w:val="000000"/>
                      <w:sz w:val="22"/>
                      <w:szCs w:val="22"/>
                    </w:rPr>
                    <w:t xml:space="preserve"> Preplasmiviricota</w:t>
                  </w:r>
                  <w:r>
                    <w:rPr>
                      <w:rFonts w:ascii="Arial" w:eastAsia="Arial" w:hAnsi="Arial" w:cs="Arial"/>
                      <w:color w:val="000000"/>
                      <w:sz w:val="22"/>
                      <w:szCs w:val="22"/>
                    </w:rPr>
                    <w:t xml:space="preserve"> currently contains three (dsDNA virus) classes: </w:t>
                  </w:r>
                  <w:r>
                    <w:rPr>
                      <w:rFonts w:ascii="Arial" w:eastAsia="Arial" w:hAnsi="Arial" w:cs="Arial"/>
                      <w:i/>
                      <w:color w:val="000000"/>
                      <w:sz w:val="22"/>
                      <w:szCs w:val="22"/>
                    </w:rPr>
                    <w:t>Maveriviricetes</w:t>
                  </w:r>
                  <w:r>
                    <w:rPr>
                      <w:rFonts w:ascii="Arial" w:eastAsia="Arial" w:hAnsi="Arial" w:cs="Arial"/>
                      <w:color w:val="000000"/>
                      <w:sz w:val="22"/>
                      <w:szCs w:val="22"/>
                    </w:rPr>
                    <w:t xml:space="preserve">, </w:t>
                  </w:r>
                  <w:r>
                    <w:rPr>
                      <w:rFonts w:ascii="Arial" w:eastAsia="Arial" w:hAnsi="Arial" w:cs="Arial"/>
                      <w:i/>
                      <w:color w:val="000000"/>
                      <w:sz w:val="22"/>
                      <w:szCs w:val="22"/>
                    </w:rPr>
                    <w:t>Polintoviricetes</w:t>
                  </w:r>
                  <w:r>
                    <w:rPr>
                      <w:rFonts w:ascii="Arial" w:eastAsia="Arial" w:hAnsi="Arial" w:cs="Arial"/>
                      <w:color w:val="000000"/>
                      <w:sz w:val="22"/>
                      <w:szCs w:val="22"/>
                    </w:rPr>
                    <w:t xml:space="preserve"> and </w:t>
                  </w:r>
                  <w:r>
                    <w:rPr>
                      <w:rFonts w:ascii="Arial" w:eastAsia="Arial" w:hAnsi="Arial" w:cs="Arial"/>
                      <w:i/>
                      <w:color w:val="000000"/>
                      <w:sz w:val="22"/>
                      <w:szCs w:val="22"/>
                    </w:rPr>
                    <w:t>Tectiliviricetes</w:t>
                  </w:r>
                  <w:r>
                    <w:rPr>
                      <w:rFonts w:ascii="Arial" w:eastAsia="Arial" w:hAnsi="Arial" w:cs="Arial"/>
                      <w:color w:val="000000"/>
                      <w:sz w:val="22"/>
                      <w:szCs w:val="22"/>
                    </w:rPr>
                    <w:t>.</w:t>
                  </w:r>
                </w:p>
                <w:p w14:paraId="4593EBB6" w14:textId="77777777" w:rsidR="00A97B6F" w:rsidRDefault="009A0F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Here we propose to create</w:t>
                  </w:r>
                </w:p>
                <w:p w14:paraId="56C68D0B" w14:textId="77777777" w:rsidR="00A97B6F" w:rsidRDefault="009A0F19">
                  <w:pPr>
                    <w:numPr>
                      <w:ilvl w:val="0"/>
                      <w:numId w:val="3"/>
                    </w:numPr>
                    <w:pBdr>
                      <w:top w:val="nil"/>
                      <w:left w:val="nil"/>
                      <w:bottom w:val="nil"/>
                      <w:right w:val="nil"/>
                      <w:between w:val="nil"/>
                    </w:pBdr>
                    <w:rPr>
                      <w:rFonts w:ascii="Calibri" w:eastAsia="Calibri" w:hAnsi="Calibri" w:cs="Calibri"/>
                      <w:color w:val="000000"/>
                      <w:sz w:val="22"/>
                      <w:szCs w:val="22"/>
                    </w:rPr>
                  </w:pPr>
                  <w:r>
                    <w:rPr>
                      <w:rFonts w:ascii="Arial" w:eastAsia="Arial" w:hAnsi="Arial" w:cs="Arial"/>
                      <w:color w:val="000000"/>
                      <w:sz w:val="22"/>
                      <w:szCs w:val="22"/>
                    </w:rPr>
                    <w:lastRenderedPageBreak/>
                    <w:t xml:space="preserve">a new order </w:t>
                  </w:r>
                  <w:r>
                    <w:rPr>
                      <w:rFonts w:ascii="Arial" w:eastAsia="Arial" w:hAnsi="Arial" w:cs="Arial"/>
                      <w:i/>
                      <w:color w:val="000000"/>
                      <w:sz w:val="22"/>
                      <w:szCs w:val="22"/>
                    </w:rPr>
                    <w:t>Lautamovirales</w:t>
                  </w:r>
                  <w:r>
                    <w:rPr>
                      <w:rFonts w:ascii="Arial" w:eastAsia="Arial" w:hAnsi="Arial" w:cs="Arial"/>
                      <w:color w:val="000000"/>
                      <w:sz w:val="22"/>
                      <w:szCs w:val="22"/>
                    </w:rPr>
                    <w:t xml:space="preserve"> in a new class </w:t>
                  </w:r>
                  <w:r>
                    <w:rPr>
                      <w:rFonts w:ascii="Arial" w:eastAsia="Arial" w:hAnsi="Arial" w:cs="Arial"/>
                      <w:i/>
                      <w:color w:val="000000"/>
                      <w:sz w:val="22"/>
                      <w:szCs w:val="22"/>
                    </w:rPr>
                    <w:t xml:space="preserve">Ainoaviricetes </w:t>
                  </w:r>
                  <w:r>
                    <w:rPr>
                      <w:rFonts w:ascii="Arial" w:eastAsia="Arial" w:hAnsi="Arial" w:cs="Arial"/>
                      <w:color w:val="000000"/>
                      <w:sz w:val="22"/>
                      <w:szCs w:val="22"/>
                    </w:rPr>
                    <w:t xml:space="preserve">in the phylum </w:t>
                  </w:r>
                  <w:r>
                    <w:rPr>
                      <w:rFonts w:ascii="Arial" w:eastAsia="Arial" w:hAnsi="Arial" w:cs="Arial"/>
                      <w:i/>
                      <w:color w:val="000000"/>
                      <w:sz w:val="22"/>
                      <w:szCs w:val="22"/>
                    </w:rPr>
                    <w:t xml:space="preserve">Preplasmiviricota </w:t>
                  </w:r>
                  <w:r>
                    <w:rPr>
                      <w:rFonts w:ascii="Arial" w:eastAsia="Arial" w:hAnsi="Arial" w:cs="Arial"/>
                      <w:color w:val="000000"/>
                      <w:sz w:val="22"/>
                      <w:szCs w:val="22"/>
                    </w:rPr>
                    <w:t>for viruses with a ssDNA genome encoding a vertical DJR MCP</w:t>
                  </w:r>
                </w:p>
                <w:p w14:paraId="1A1DB65D" w14:textId="77777777" w:rsidR="00A97B6F" w:rsidRDefault="00A97B6F">
                  <w:pPr>
                    <w:pBdr>
                      <w:top w:val="nil"/>
                      <w:left w:val="nil"/>
                      <w:bottom w:val="nil"/>
                      <w:right w:val="nil"/>
                      <w:between w:val="nil"/>
                    </w:pBdr>
                    <w:rPr>
                      <w:rFonts w:ascii="Times" w:eastAsia="Times" w:hAnsi="Times" w:cs="Times"/>
                      <w:color w:val="000000"/>
                      <w:sz w:val="22"/>
                      <w:szCs w:val="22"/>
                    </w:rPr>
                  </w:pPr>
                </w:p>
                <w:p w14:paraId="00E9DFB0" w14:textId="77777777" w:rsidR="00A97B6F" w:rsidRDefault="009A0F19">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Proposed taxon demarcation criteria:</w:t>
                  </w:r>
                </w:p>
                <w:p w14:paraId="27370482" w14:textId="77777777" w:rsidR="00A97B6F" w:rsidRDefault="00A97B6F">
                  <w:pPr>
                    <w:rPr>
                      <w:rFonts w:ascii="Arial" w:eastAsia="Arial" w:hAnsi="Arial" w:cs="Arial"/>
                      <w:color w:val="0000FF"/>
                      <w:sz w:val="22"/>
                      <w:szCs w:val="22"/>
                    </w:rPr>
                  </w:pPr>
                </w:p>
                <w:p w14:paraId="04B4B118" w14:textId="77777777" w:rsidR="00A97B6F" w:rsidRDefault="009A0F19">
                  <w:pPr>
                    <w:numPr>
                      <w:ilvl w:val="0"/>
                      <w:numId w:val="2"/>
                    </w:num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Ainoaviricetes</w:t>
                  </w:r>
                  <w:r>
                    <w:rPr>
                      <w:rFonts w:ascii="Arial" w:eastAsia="Arial" w:hAnsi="Arial" w:cs="Arial"/>
                      <w:color w:val="000000"/>
                      <w:sz w:val="22"/>
                      <w:szCs w:val="22"/>
                    </w:rPr>
                    <w:t xml:space="preserve">: A virus belonging to phylum </w:t>
                  </w:r>
                  <w:r>
                    <w:rPr>
                      <w:rFonts w:ascii="Arial" w:eastAsia="Arial" w:hAnsi="Arial" w:cs="Arial"/>
                      <w:i/>
                      <w:color w:val="000000"/>
                      <w:sz w:val="22"/>
                      <w:szCs w:val="22"/>
                    </w:rPr>
                    <w:t>Preplasmiviricota</w:t>
                  </w:r>
                  <w:r>
                    <w:rPr>
                      <w:rFonts w:ascii="Arial" w:eastAsia="Arial" w:hAnsi="Arial" w:cs="Arial"/>
                      <w:color w:val="000000"/>
                      <w:sz w:val="22"/>
                      <w:szCs w:val="22"/>
                    </w:rPr>
                    <w:t xml:space="preserve"> is a member of the class </w:t>
                  </w:r>
                  <w:r>
                    <w:rPr>
                      <w:rFonts w:ascii="Arial" w:eastAsia="Arial" w:hAnsi="Arial" w:cs="Arial"/>
                      <w:i/>
                      <w:color w:val="000000"/>
                      <w:sz w:val="22"/>
                      <w:szCs w:val="22"/>
                    </w:rPr>
                    <w:t>Ainoaviricetes</w:t>
                  </w:r>
                  <w:r>
                    <w:rPr>
                      <w:rFonts w:ascii="Arial" w:eastAsia="Arial" w:hAnsi="Arial" w:cs="Arial"/>
                      <w:color w:val="000000"/>
                      <w:sz w:val="22"/>
                      <w:szCs w:val="22"/>
                    </w:rPr>
                    <w:t xml:space="preserve"> if it has a ssDNA genome encoding a vertical DJR MCP.    </w:t>
                  </w:r>
                </w:p>
                <w:p w14:paraId="22FA97BC" w14:textId="78C17462" w:rsidR="00A97B6F" w:rsidRDefault="009A0F19">
                  <w:pPr>
                    <w:numPr>
                      <w:ilvl w:val="0"/>
                      <w:numId w:val="2"/>
                    </w:num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Lautamovirales</w:t>
                  </w:r>
                  <w:r>
                    <w:rPr>
                      <w:rFonts w:ascii="Arial" w:eastAsia="Arial" w:hAnsi="Arial" w:cs="Arial"/>
                      <w:color w:val="000000"/>
                      <w:sz w:val="22"/>
                      <w:szCs w:val="22"/>
                    </w:rPr>
                    <w:t xml:space="preserve">: </w:t>
                  </w:r>
                  <w:r w:rsidR="007C33FC">
                    <w:rPr>
                      <w:rFonts w:ascii="Arial" w:eastAsia="Arial" w:hAnsi="Arial" w:cs="Arial"/>
                      <w:color w:val="000000"/>
                      <w:sz w:val="22"/>
                      <w:szCs w:val="22"/>
                    </w:rPr>
                    <w:t>There are currently no demarcation criteria</w:t>
                  </w:r>
                  <w:r>
                    <w:rPr>
                      <w:rFonts w:ascii="Arial" w:eastAsia="Arial" w:hAnsi="Arial" w:cs="Arial"/>
                      <w:color w:val="000000"/>
                      <w:sz w:val="22"/>
                      <w:szCs w:val="22"/>
                    </w:rPr>
                    <w:t>.</w:t>
                  </w:r>
                </w:p>
                <w:p w14:paraId="029BD75D" w14:textId="77777777" w:rsidR="00A97B6F" w:rsidRDefault="00A97B6F">
                  <w:pPr>
                    <w:rPr>
                      <w:rFonts w:ascii="Arial" w:eastAsia="Arial" w:hAnsi="Arial" w:cs="Arial"/>
                      <w:sz w:val="22"/>
                      <w:szCs w:val="22"/>
                    </w:rPr>
                  </w:pPr>
                </w:p>
                <w:p w14:paraId="2FA1AE44" w14:textId="77777777" w:rsidR="00A97B6F" w:rsidRDefault="009A0F19">
                  <w:pPr>
                    <w:rPr>
                      <w:rFonts w:ascii="Arial" w:eastAsia="Arial" w:hAnsi="Arial" w:cs="Arial"/>
                      <w:b/>
                      <w:sz w:val="22"/>
                      <w:szCs w:val="22"/>
                    </w:rPr>
                  </w:pPr>
                  <w:r>
                    <w:rPr>
                      <w:rFonts w:ascii="Arial" w:eastAsia="Arial" w:hAnsi="Arial" w:cs="Arial"/>
                      <w:b/>
                      <w:sz w:val="22"/>
                      <w:szCs w:val="22"/>
                    </w:rPr>
                    <w:t>Etymology of proposed taxa:</w:t>
                  </w:r>
                </w:p>
                <w:p w14:paraId="68A72D9F" w14:textId="77777777" w:rsidR="00A97B6F" w:rsidRDefault="009A0F19">
                  <w:pPr>
                    <w:numPr>
                      <w:ilvl w:val="0"/>
                      <w:numId w:val="1"/>
                    </w:num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Ainoaviricetes;</w:t>
                  </w:r>
                  <w:r>
                    <w:rPr>
                      <w:rFonts w:ascii="Arial" w:eastAsia="Arial" w:hAnsi="Arial" w:cs="Arial"/>
                      <w:color w:val="000000"/>
                      <w:sz w:val="22"/>
                      <w:szCs w:val="22"/>
                    </w:rPr>
                    <w:t xml:space="preserve"> from Finnish word ´ainoa´, meaning ´only´, ´single´ — a reference to the single-stranded DNA genome of the viruses in this taxon; and the suffix -</w:t>
                  </w:r>
                  <w:r>
                    <w:rPr>
                      <w:rFonts w:ascii="Arial" w:eastAsia="Arial" w:hAnsi="Arial" w:cs="Arial"/>
                      <w:i/>
                      <w:color w:val="000000"/>
                      <w:sz w:val="22"/>
                      <w:szCs w:val="22"/>
                    </w:rPr>
                    <w:t>viricetes</w:t>
                  </w:r>
                  <w:r>
                    <w:rPr>
                      <w:rFonts w:ascii="Arial" w:eastAsia="Arial" w:hAnsi="Arial" w:cs="Arial"/>
                      <w:color w:val="000000"/>
                      <w:sz w:val="22"/>
                      <w:szCs w:val="22"/>
                    </w:rPr>
                    <w:t xml:space="preserve"> for class taxa</w:t>
                  </w:r>
                </w:p>
                <w:p w14:paraId="708E2DD3" w14:textId="77777777" w:rsidR="00A97B6F" w:rsidRDefault="009A0F19">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i/>
                      <w:color w:val="000000"/>
                      <w:sz w:val="22"/>
                      <w:szCs w:val="22"/>
                    </w:rPr>
                    <w:t>Lautamovirales;</w:t>
                  </w:r>
                  <w:r>
                    <w:rPr>
                      <w:rFonts w:ascii="Arial" w:eastAsia="Arial" w:hAnsi="Arial" w:cs="Arial"/>
                      <w:color w:val="000000"/>
                      <w:sz w:val="22"/>
                      <w:szCs w:val="22"/>
                    </w:rPr>
                    <w:t xml:space="preserve"> after Jaana K.H. Bamford</w:t>
                  </w:r>
                  <w:r>
                    <w:rPr>
                      <w:rFonts w:ascii="Arial" w:eastAsia="Arial" w:hAnsi="Arial" w:cs="Arial"/>
                      <w:color w:val="000000"/>
                      <w:vertAlign w:val="superscript"/>
                    </w:rPr>
                    <w:t xml:space="preserve"> †</w:t>
                  </w:r>
                  <w:r>
                    <w:rPr>
                      <w:rFonts w:ascii="Arial" w:eastAsia="Arial" w:hAnsi="Arial" w:cs="Arial"/>
                      <w:color w:val="000000"/>
                      <w:sz w:val="22"/>
                      <w:szCs w:val="22"/>
                    </w:rPr>
                    <w:t xml:space="preserve"> (nee </w:t>
                  </w:r>
                  <w:r>
                    <w:rPr>
                      <w:rFonts w:ascii="Arial" w:eastAsia="Arial" w:hAnsi="Arial" w:cs="Arial"/>
                      <w:color w:val="000000"/>
                      <w:sz w:val="22"/>
                      <w:szCs w:val="22"/>
                      <w:u w:val="single"/>
                    </w:rPr>
                    <w:t>Lautamo</w:t>
                  </w:r>
                  <w:r>
                    <w:rPr>
                      <w:rFonts w:ascii="Arial" w:eastAsia="Arial" w:hAnsi="Arial" w:cs="Arial"/>
                      <w:color w:val="000000"/>
                      <w:sz w:val="22"/>
                      <w:szCs w:val="22"/>
                    </w:rPr>
                    <w:t xml:space="preserve">) who established phage research at the University of Jyväskylä, Finland, where the sole member of </w:t>
                  </w:r>
                  <w:r>
                    <w:rPr>
                      <w:rFonts w:ascii="Arial" w:eastAsia="Arial" w:hAnsi="Arial" w:cs="Arial"/>
                      <w:i/>
                      <w:color w:val="000000"/>
                      <w:sz w:val="22"/>
                      <w:szCs w:val="22"/>
                    </w:rPr>
                    <w:t>Finnlakeviridae</w:t>
                  </w:r>
                  <w:r>
                    <w:rPr>
                      <w:rFonts w:ascii="Arial" w:eastAsia="Arial" w:hAnsi="Arial" w:cs="Arial"/>
                      <w:color w:val="000000"/>
                      <w:sz w:val="22"/>
                      <w:szCs w:val="22"/>
                    </w:rPr>
                    <w:t xml:space="preserve"> was isolated and characterized; and the suffix -</w:t>
                  </w:r>
                  <w:r>
                    <w:rPr>
                      <w:rFonts w:ascii="Arial" w:eastAsia="Arial" w:hAnsi="Arial" w:cs="Arial"/>
                      <w:i/>
                      <w:color w:val="000000"/>
                      <w:sz w:val="22"/>
                      <w:szCs w:val="22"/>
                      <w:u w:val="single"/>
                    </w:rPr>
                    <w:t>virales</w:t>
                  </w:r>
                  <w:r>
                    <w:rPr>
                      <w:rFonts w:ascii="Arial" w:eastAsia="Arial" w:hAnsi="Arial" w:cs="Arial"/>
                      <w:color w:val="000000"/>
                      <w:sz w:val="22"/>
                      <w:szCs w:val="22"/>
                    </w:rPr>
                    <w:t xml:space="preserve"> for order taxa</w:t>
                  </w:r>
                </w:p>
                <w:p w14:paraId="1980DFF5" w14:textId="77777777" w:rsidR="00A97B6F" w:rsidRDefault="00A97B6F"/>
                <w:p w14:paraId="001C677D" w14:textId="77777777" w:rsidR="00A97B6F" w:rsidRDefault="00A97B6F">
                  <w:pPr>
                    <w:rPr>
                      <w:rFonts w:ascii="Arial" w:eastAsia="Arial" w:hAnsi="Arial" w:cs="Arial"/>
                      <w:color w:val="0000FF"/>
                      <w:sz w:val="22"/>
                      <w:szCs w:val="22"/>
                    </w:rPr>
                  </w:pPr>
                </w:p>
              </w:tc>
            </w:tr>
          </w:tbl>
          <w:p w14:paraId="08BE3A33" w14:textId="77777777" w:rsidR="00A97B6F" w:rsidRDefault="00A97B6F">
            <w:pPr>
              <w:rPr>
                <w:rFonts w:ascii="Arial" w:eastAsia="Arial" w:hAnsi="Arial" w:cs="Arial"/>
                <w:color w:val="0000FF"/>
                <w:sz w:val="20"/>
                <w:szCs w:val="20"/>
              </w:rPr>
            </w:pPr>
          </w:p>
        </w:tc>
      </w:tr>
    </w:tbl>
    <w:p w14:paraId="0C5AC6C5" w14:textId="77777777" w:rsidR="00A97B6F" w:rsidRDefault="009A0F19">
      <w:pPr>
        <w:pBdr>
          <w:top w:val="nil"/>
          <w:left w:val="nil"/>
          <w:bottom w:val="nil"/>
          <w:right w:val="nil"/>
          <w:between w:val="nil"/>
        </w:pBdr>
        <w:spacing w:before="120" w:after="120"/>
        <w:rPr>
          <w:rFonts w:ascii="Arial" w:eastAsia="Arial" w:hAnsi="Arial" w:cs="Arial"/>
          <w:b/>
          <w:color w:val="000000"/>
        </w:rPr>
      </w:pPr>
      <w:r>
        <w:rPr>
          <w:rFonts w:ascii="Arial" w:eastAsia="Arial" w:hAnsi="Arial" w:cs="Arial"/>
          <w:b/>
          <w:color w:val="000000"/>
        </w:rPr>
        <w:lastRenderedPageBreak/>
        <w:t>Supporting evidence</w:t>
      </w:r>
    </w:p>
    <w:p w14:paraId="1188265F" w14:textId="77777777" w:rsidR="00A97B6F" w:rsidRDefault="00A97B6F">
      <w:pPr>
        <w:rPr>
          <w:rFonts w:ascii="Arial" w:eastAsia="Arial" w:hAnsi="Arial" w:cs="Arial"/>
          <w:b/>
          <w:sz w:val="22"/>
          <w:szCs w:val="22"/>
        </w:rPr>
      </w:pPr>
    </w:p>
    <w:p w14:paraId="2F34C3D5" w14:textId="77777777" w:rsidR="00A97B6F" w:rsidRDefault="009A0F19">
      <w:r>
        <w:rPr>
          <w:noProof/>
        </w:rPr>
        <w:drawing>
          <wp:inline distT="0" distB="0" distL="0" distR="0" wp14:anchorId="5C7B0EAA" wp14:editId="77EE816C">
            <wp:extent cx="4572000" cy="3905250"/>
            <wp:effectExtent l="0" t="0" r="0" b="0"/>
            <wp:docPr id="17053639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572000" cy="3905250"/>
                    </a:xfrm>
                    <a:prstGeom prst="rect">
                      <a:avLst/>
                    </a:prstGeom>
                    <a:ln/>
                  </pic:spPr>
                </pic:pic>
              </a:graphicData>
            </a:graphic>
          </wp:inline>
        </w:drawing>
      </w:r>
    </w:p>
    <w:p w14:paraId="16499A7F" w14:textId="77777777" w:rsidR="00A97B6F" w:rsidRDefault="009A0F19">
      <w:pPr>
        <w:spacing w:line="257" w:lineRule="auto"/>
        <w:rPr>
          <w:rFonts w:ascii="Arial" w:eastAsia="Arial" w:hAnsi="Arial" w:cs="Arial"/>
          <w:sz w:val="20"/>
          <w:szCs w:val="20"/>
        </w:rPr>
      </w:pPr>
      <w:r>
        <w:rPr>
          <w:rFonts w:ascii="Arial" w:eastAsia="Arial" w:hAnsi="Arial" w:cs="Arial"/>
          <w:b/>
          <w:sz w:val="20"/>
          <w:szCs w:val="20"/>
        </w:rPr>
        <w:t>Figure 1.</w:t>
      </w:r>
      <w:r>
        <w:rPr>
          <w:sz w:val="20"/>
          <w:szCs w:val="20"/>
        </w:rPr>
        <w:t xml:space="preserve"> </w:t>
      </w:r>
      <w:r>
        <w:rPr>
          <w:rFonts w:ascii="Arial" w:eastAsia="Arial" w:hAnsi="Arial" w:cs="Arial"/>
          <w:sz w:val="20"/>
          <w:szCs w:val="20"/>
        </w:rPr>
        <w:t xml:space="preserve">Structure-based phylogenetic tree (from Laanto et al., 2017) derived from structural alignment of MCPs from FLiP, bacteriophage PM2 (PDB code: 2WOC), bacteriophage PRD1 (PDB ID code: 1HX6), Sulfolobus turreted icosahedral virus (STIV; PDB ID code: 2BBD), Paramecium bursaria chlorella virus 1 (PBCV-1; PDB ID code: 1M3Y), vaccinia virus Western Reserve D13 (D13; PDB ID code: 2YGB), Sputnik virophage (PDB ID code: 3J26), and human adenovirus 5 (h-Ad5; PDB ID code 1P30). The structurally equivalent region used in the structure-based comparison is shown in green. A generalized fold for the common structural core is shown as a C-α trace in the Inset. Branches </w:t>
      </w:r>
      <w:r>
        <w:rPr>
          <w:rFonts w:ascii="Arial" w:eastAsia="Arial" w:hAnsi="Arial" w:cs="Arial"/>
          <w:sz w:val="20"/>
          <w:szCs w:val="20"/>
        </w:rPr>
        <w:lastRenderedPageBreak/>
        <w:t>corresponding to viruses with dsDNA genomes are shaded light blue. The branch corresponding to FLiP, the only characterized member the lineage with an ssDNA genome, is highlighted in red.</w:t>
      </w:r>
    </w:p>
    <w:p w14:paraId="20B8C4FE" w14:textId="77777777" w:rsidR="00A97B6F" w:rsidRDefault="00A97B6F">
      <w:pPr>
        <w:rPr>
          <w:sz w:val="20"/>
          <w:szCs w:val="20"/>
        </w:rPr>
      </w:pPr>
    </w:p>
    <w:p w14:paraId="6B6A095B" w14:textId="77777777" w:rsidR="00A97B6F" w:rsidRDefault="00A97B6F">
      <w:pPr>
        <w:rPr>
          <w:rFonts w:ascii="Arial" w:eastAsia="Arial" w:hAnsi="Arial" w:cs="Arial"/>
          <w:b/>
          <w:sz w:val="22"/>
          <w:szCs w:val="22"/>
        </w:rPr>
      </w:pPr>
    </w:p>
    <w:p w14:paraId="5DF5D407" w14:textId="77777777" w:rsidR="00A97B6F" w:rsidRDefault="009A0F19">
      <w:pPr>
        <w:spacing w:before="120" w:after="120"/>
        <w:rPr>
          <w:rFonts w:ascii="Arial" w:eastAsia="Arial" w:hAnsi="Arial" w:cs="Arial"/>
          <w:b/>
        </w:rPr>
      </w:pPr>
      <w:r>
        <w:rPr>
          <w:rFonts w:ascii="Arial" w:eastAsia="Arial" w:hAnsi="Arial" w:cs="Arial"/>
          <w:b/>
        </w:rPr>
        <w:t>References</w:t>
      </w:r>
    </w:p>
    <w:p w14:paraId="3AD40701" w14:textId="77777777" w:rsidR="00A97B6F" w:rsidRDefault="009A0F19">
      <w:pPr>
        <w:spacing w:line="257" w:lineRule="auto"/>
        <w:rPr>
          <w:rFonts w:ascii="Arial" w:eastAsia="Arial" w:hAnsi="Arial" w:cs="Arial"/>
          <w:sz w:val="22"/>
          <w:szCs w:val="22"/>
        </w:rPr>
      </w:pPr>
      <w:r>
        <w:rPr>
          <w:rFonts w:ascii="Arial" w:eastAsia="Arial" w:hAnsi="Arial" w:cs="Arial"/>
          <w:sz w:val="22"/>
          <w:szCs w:val="22"/>
        </w:rPr>
        <w:t xml:space="preserve">Koonin EV, Dolja VV, Krupovic M, Varsani A, Wolf YI, Yutin N, Zerbini FM, Kuhn JH. </w:t>
      </w:r>
      <w:r>
        <w:rPr>
          <w:rFonts w:ascii="Arial" w:eastAsia="Arial" w:hAnsi="Arial" w:cs="Arial"/>
          <w:color w:val="000000"/>
          <w:sz w:val="22"/>
          <w:szCs w:val="22"/>
        </w:rPr>
        <w:t>Create a megataxonomic framework, filling all principal taxonomic ranks, for DNA viruses encoding vertical jelly roll-type major capsid proteins.</w:t>
      </w:r>
      <w:r>
        <w:rPr>
          <w:rFonts w:ascii="Arial" w:eastAsia="Arial" w:hAnsi="Arial" w:cs="Arial"/>
          <w:sz w:val="22"/>
          <w:szCs w:val="22"/>
        </w:rPr>
        <w:t xml:space="preserve"> 2020, ICTV Online: International Committee on Taxonomy of Viruses (ICTV). International Committee on Taxonomy of Viruses (ICTV)</w:t>
      </w:r>
    </w:p>
    <w:p w14:paraId="731D91DE" w14:textId="77777777" w:rsidR="00A97B6F" w:rsidRDefault="00A97B6F">
      <w:pPr>
        <w:spacing w:line="257" w:lineRule="auto"/>
        <w:rPr>
          <w:rFonts w:ascii="Arial" w:eastAsia="Arial" w:hAnsi="Arial" w:cs="Arial"/>
          <w:sz w:val="22"/>
          <w:szCs w:val="22"/>
        </w:rPr>
      </w:pPr>
    </w:p>
    <w:p w14:paraId="5071F00D" w14:textId="77777777" w:rsidR="00A97B6F" w:rsidRDefault="009A0F19">
      <w:pPr>
        <w:spacing w:line="257" w:lineRule="auto"/>
        <w:rPr>
          <w:rFonts w:ascii="Arial" w:eastAsia="Arial" w:hAnsi="Arial" w:cs="Arial"/>
          <w:sz w:val="22"/>
          <w:szCs w:val="22"/>
        </w:rPr>
      </w:pPr>
      <w:r>
        <w:rPr>
          <w:rFonts w:ascii="Arial" w:eastAsia="Arial" w:hAnsi="Arial" w:cs="Arial"/>
          <w:sz w:val="22"/>
          <w:szCs w:val="22"/>
        </w:rPr>
        <w:t>Koonin EV, Dolja VV, Krupovic M, Varsani A, Wolf YI, Yutin N, Zerbini FM, Kuhn JH. Global Organization and Proposed Megataxonomy of the Virus World. Microbiol Mol Biol Rev. 2020 Mar 4;84(2</w:t>
      </w:r>
      <w:proofErr w:type="gramStart"/>
      <w:r>
        <w:rPr>
          <w:rFonts w:ascii="Arial" w:eastAsia="Arial" w:hAnsi="Arial" w:cs="Arial"/>
          <w:sz w:val="22"/>
          <w:szCs w:val="22"/>
        </w:rPr>
        <w:t>):e</w:t>
      </w:r>
      <w:proofErr w:type="gramEnd"/>
      <w:r>
        <w:rPr>
          <w:rFonts w:ascii="Arial" w:eastAsia="Arial" w:hAnsi="Arial" w:cs="Arial"/>
          <w:sz w:val="22"/>
          <w:szCs w:val="22"/>
        </w:rPr>
        <w:t>00061-19. doi: 10.1128/MMBR.00061-19. PMID: 32132243; PMCID: PMC7062200.</w:t>
      </w:r>
    </w:p>
    <w:p w14:paraId="3E130D0C" w14:textId="77777777" w:rsidR="00A97B6F" w:rsidRDefault="00A97B6F">
      <w:pPr>
        <w:spacing w:line="257" w:lineRule="auto"/>
        <w:rPr>
          <w:rFonts w:ascii="Arial" w:eastAsia="Arial" w:hAnsi="Arial" w:cs="Arial"/>
          <w:sz w:val="22"/>
          <w:szCs w:val="22"/>
        </w:rPr>
      </w:pPr>
    </w:p>
    <w:p w14:paraId="7BE85588" w14:textId="77777777" w:rsidR="00A97B6F" w:rsidRDefault="009A0F19">
      <w:pPr>
        <w:spacing w:line="257" w:lineRule="auto"/>
        <w:rPr>
          <w:rFonts w:ascii="Arial" w:eastAsia="Arial" w:hAnsi="Arial" w:cs="Arial"/>
          <w:sz w:val="22"/>
          <w:szCs w:val="22"/>
        </w:rPr>
      </w:pPr>
      <w:r>
        <w:rPr>
          <w:rFonts w:ascii="Arial" w:eastAsia="Arial" w:hAnsi="Arial" w:cs="Arial"/>
          <w:sz w:val="22"/>
          <w:szCs w:val="22"/>
        </w:rPr>
        <w:t>Laanto E, Mäntynen S, De Colibus L, Marjakangas J, Gillum A, Stuart DI, Ravantti JJ, Huiskonen JT, Sundberg LR. Virus found in a boreal lake links ssDNA and dsDNA viruses. Proc Natl Acad Sci U S A. 2017 Aug 1;114(31):8378-8383. doi: 10.1073/pnas.1703834114. Epub 2017 Jul 17. PMID: 28716906; PMCID: PMC5547622.</w:t>
      </w:r>
    </w:p>
    <w:p w14:paraId="1B2629E3" w14:textId="77777777" w:rsidR="00A97B6F" w:rsidRDefault="00A97B6F">
      <w:pPr>
        <w:spacing w:line="257" w:lineRule="auto"/>
        <w:rPr>
          <w:rFonts w:ascii="Arial" w:eastAsia="Arial" w:hAnsi="Arial" w:cs="Arial"/>
          <w:sz w:val="22"/>
          <w:szCs w:val="22"/>
        </w:rPr>
      </w:pPr>
    </w:p>
    <w:p w14:paraId="22219719" w14:textId="77777777" w:rsidR="00A97B6F" w:rsidRDefault="009A0F19">
      <w:pPr>
        <w:spacing w:line="257" w:lineRule="auto"/>
        <w:rPr>
          <w:rFonts w:ascii="Arial" w:eastAsia="Arial" w:hAnsi="Arial" w:cs="Arial"/>
          <w:sz w:val="22"/>
          <w:szCs w:val="22"/>
        </w:rPr>
      </w:pPr>
      <w:r>
        <w:rPr>
          <w:rFonts w:ascii="Arial" w:eastAsia="Arial" w:hAnsi="Arial" w:cs="Arial"/>
          <w:sz w:val="22"/>
          <w:szCs w:val="22"/>
        </w:rPr>
        <w:t>Mäntynen S, Laanto E, Sundberg LR, Poranen MM, Oksanen HM, Report Consortium I. ICTV Virus Taxonomy Profile:</w:t>
      </w:r>
      <w:r>
        <w:rPr>
          <w:rFonts w:ascii="Arial" w:eastAsia="Arial" w:hAnsi="Arial" w:cs="Arial"/>
          <w:i/>
          <w:sz w:val="22"/>
          <w:szCs w:val="22"/>
        </w:rPr>
        <w:t xml:space="preserve"> Finnlakeviridae</w:t>
      </w:r>
      <w:r>
        <w:rPr>
          <w:rFonts w:ascii="Arial" w:eastAsia="Arial" w:hAnsi="Arial" w:cs="Arial"/>
          <w:sz w:val="22"/>
          <w:szCs w:val="22"/>
        </w:rPr>
        <w:t>. J Gen Virol. 2020 Sep;101(9):894-895. doi: 10.1099/jgv.0.001488. PMID: 32840474; PMCID: PMC7654751.</w:t>
      </w:r>
    </w:p>
    <w:p w14:paraId="7DAE654E" w14:textId="77777777" w:rsidR="00A97B6F" w:rsidRDefault="00A97B6F">
      <w:pPr>
        <w:spacing w:line="257" w:lineRule="auto"/>
        <w:rPr>
          <w:rFonts w:ascii="Arial" w:eastAsia="Arial" w:hAnsi="Arial" w:cs="Arial"/>
          <w:sz w:val="22"/>
          <w:szCs w:val="22"/>
        </w:rPr>
      </w:pPr>
    </w:p>
    <w:p w14:paraId="26716FA0" w14:textId="77777777" w:rsidR="00A97B6F" w:rsidRDefault="009A0F19">
      <w:pPr>
        <w:spacing w:line="257" w:lineRule="auto"/>
        <w:rPr>
          <w:rFonts w:ascii="Arial" w:eastAsia="Arial" w:hAnsi="Arial" w:cs="Arial"/>
          <w:sz w:val="22"/>
          <w:szCs w:val="22"/>
        </w:rPr>
      </w:pPr>
      <w:r>
        <w:rPr>
          <w:rFonts w:ascii="Arial" w:eastAsia="Arial" w:hAnsi="Arial" w:cs="Arial"/>
          <w:sz w:val="22"/>
          <w:szCs w:val="22"/>
        </w:rPr>
        <w:t xml:space="preserve">Woo AC, Gaia M, Guglielmini J, Da Cunha V, Forterre P. Phylogeny of the Varidnaviria Morphogenesis Module: Congruence and Incongruence </w:t>
      </w:r>
      <w:proofErr w:type="gramStart"/>
      <w:r>
        <w:rPr>
          <w:rFonts w:ascii="Arial" w:eastAsia="Arial" w:hAnsi="Arial" w:cs="Arial"/>
          <w:sz w:val="22"/>
          <w:szCs w:val="22"/>
        </w:rPr>
        <w:t>With</w:t>
      </w:r>
      <w:proofErr w:type="gramEnd"/>
      <w:r>
        <w:rPr>
          <w:rFonts w:ascii="Arial" w:eastAsia="Arial" w:hAnsi="Arial" w:cs="Arial"/>
          <w:sz w:val="22"/>
          <w:szCs w:val="22"/>
        </w:rPr>
        <w:t xml:space="preserve"> the Tree of Life and Viral Taxonomy. Front Microbiol. 2021 Jul </w:t>
      </w:r>
      <w:proofErr w:type="gramStart"/>
      <w:r>
        <w:rPr>
          <w:rFonts w:ascii="Arial" w:eastAsia="Arial" w:hAnsi="Arial" w:cs="Arial"/>
          <w:sz w:val="22"/>
          <w:szCs w:val="22"/>
        </w:rPr>
        <w:t>16;12:704052</w:t>
      </w:r>
      <w:proofErr w:type="gramEnd"/>
      <w:r>
        <w:rPr>
          <w:rFonts w:ascii="Arial" w:eastAsia="Arial" w:hAnsi="Arial" w:cs="Arial"/>
          <w:sz w:val="22"/>
          <w:szCs w:val="22"/>
        </w:rPr>
        <w:t>. doi: 10.3389/fmicb.2021.704052. PMID: 34349745; PMCID: PMC8328091.</w:t>
      </w:r>
    </w:p>
    <w:p w14:paraId="68D42490" w14:textId="77777777" w:rsidR="00A97B6F" w:rsidRDefault="00A97B6F">
      <w:pPr>
        <w:spacing w:line="257" w:lineRule="auto"/>
        <w:rPr>
          <w:sz w:val="22"/>
          <w:szCs w:val="22"/>
        </w:rPr>
      </w:pPr>
    </w:p>
    <w:p w14:paraId="2D8BA78B" w14:textId="77777777" w:rsidR="00A97B6F" w:rsidRDefault="009A0F19">
      <w:pPr>
        <w:spacing w:line="257" w:lineRule="auto"/>
        <w:rPr>
          <w:rFonts w:ascii="Arial" w:eastAsia="Arial" w:hAnsi="Arial" w:cs="Arial"/>
          <w:sz w:val="22"/>
          <w:szCs w:val="22"/>
        </w:rPr>
      </w:pPr>
      <w:r>
        <w:rPr>
          <w:rFonts w:ascii="Arial" w:eastAsia="Arial" w:hAnsi="Arial" w:cs="Arial"/>
          <w:sz w:val="22"/>
          <w:szCs w:val="22"/>
        </w:rPr>
        <w:t>Yutin N, Bäckström D, Ettema TJG, Krupovic M, Koonin EV. Vast diversity of prokaryotic virus genomes encoding double jelly-roll major capsid proteins uncovered by genomic and metagenomic sequence analysis. Virol J. 2018 Apr 10;15(1):67. doi: 10.1186/s12985-018-0974-y. PMID: 29636073; PMCID: PMC5894146.</w:t>
      </w:r>
    </w:p>
    <w:p w14:paraId="61A7434E" w14:textId="77777777" w:rsidR="00A97B6F" w:rsidRDefault="00A97B6F">
      <w:pPr>
        <w:spacing w:line="257" w:lineRule="auto"/>
        <w:rPr>
          <w:sz w:val="22"/>
          <w:szCs w:val="22"/>
        </w:rPr>
      </w:pPr>
    </w:p>
    <w:sectPr w:rsidR="00A97B6F">
      <w:headerReference w:type="default" r:id="rId10"/>
      <w:pgSz w:w="11906" w:h="16838"/>
      <w:pgMar w:top="1440" w:right="1440" w:bottom="1440" w:left="1440"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7290E" w14:textId="77777777" w:rsidR="001A2DA9" w:rsidRDefault="001A2DA9">
      <w:r>
        <w:separator/>
      </w:r>
    </w:p>
  </w:endnote>
  <w:endnote w:type="continuationSeparator" w:id="0">
    <w:p w14:paraId="68D56B7B" w14:textId="77777777" w:rsidR="001A2DA9" w:rsidRDefault="001A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AD69A" w14:textId="77777777" w:rsidR="001A2DA9" w:rsidRDefault="001A2DA9">
      <w:r>
        <w:separator/>
      </w:r>
    </w:p>
  </w:footnote>
  <w:footnote w:type="continuationSeparator" w:id="0">
    <w:p w14:paraId="1C687330" w14:textId="77777777" w:rsidR="001A2DA9" w:rsidRDefault="001A2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BB91" w14:textId="77777777" w:rsidR="00A97B6F" w:rsidRDefault="009A0F19">
    <w:pPr>
      <w:pBdr>
        <w:top w:val="nil"/>
        <w:left w:val="nil"/>
        <w:bottom w:val="nil"/>
        <w:right w:val="nil"/>
        <w:between w:val="nil"/>
      </w:pBdr>
      <w:tabs>
        <w:tab w:val="center" w:pos="4513"/>
        <w:tab w:val="right" w:pos="9026"/>
      </w:tabs>
      <w:jc w:val="right"/>
      <w:rPr>
        <w:color w:val="000000"/>
      </w:rPr>
    </w:pPr>
    <w:r>
      <w:rPr>
        <w:color w:val="000000"/>
      </w:rPr>
      <w:t>October 2021</w:t>
    </w:r>
  </w:p>
  <w:p w14:paraId="1F49658C" w14:textId="77777777" w:rsidR="00A97B6F" w:rsidRDefault="00A97B6F">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358A"/>
    <w:multiLevelType w:val="multilevel"/>
    <w:tmpl w:val="511CF06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356EC8"/>
    <w:multiLevelType w:val="multilevel"/>
    <w:tmpl w:val="7AF6C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B521A9"/>
    <w:multiLevelType w:val="multilevel"/>
    <w:tmpl w:val="1172A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3997147">
    <w:abstractNumId w:val="0"/>
  </w:num>
  <w:num w:numId="2" w16cid:durableId="1201629779">
    <w:abstractNumId w:val="1"/>
  </w:num>
  <w:num w:numId="3" w16cid:durableId="867719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B6F"/>
    <w:rsid w:val="001A2DA9"/>
    <w:rsid w:val="004B2D4B"/>
    <w:rsid w:val="00747528"/>
    <w:rsid w:val="007C33FC"/>
    <w:rsid w:val="009A0F19"/>
    <w:rsid w:val="00A05334"/>
    <w:rsid w:val="00A15C74"/>
    <w:rsid w:val="00A97B6F"/>
    <w:rsid w:val="00AB3DBA"/>
    <w:rsid w:val="00BB77EA"/>
    <w:rsid w:val="00D70EE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45DD"/>
  <w15:docId w15:val="{6CDE22FC-E663-EA46-BEFC-E0E0C954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3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575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PxEYtNDZjZcht5Xv9V30OTk2aA==">AMUW2mUMTe1rOYCHtT8qb+f8o3s7pnBZW9s2WzKpqFFYFKll0bJmqV6f2EuPqJc54r5WgI6sJo7qvIuglVWTgUD3xcfIE7sHEf4L1VYc7q2Q9jcLi3OYk/o=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1320</Words>
  <Characters>7527</Characters>
  <Application>Microsoft Office Word</Application>
  <DocSecurity>0</DocSecurity>
  <Lines>62</Lines>
  <Paragraphs>17</Paragraphs>
  <ScaleCrop>false</ScaleCrop>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Walker</dc:creator>
  <cp:lastModifiedBy>Evelien Adriaenssens (QIB)</cp:lastModifiedBy>
  <cp:revision>8</cp:revision>
  <dcterms:created xsi:type="dcterms:W3CDTF">2022-08-15T10:48:00Z</dcterms:created>
  <dcterms:modified xsi:type="dcterms:W3CDTF">2022-11-08T11:02:00Z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