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B1CA" w14:textId="77777777" w:rsidR="003C6DE0" w:rsidRDefault="003C6DE0"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0A2134C" wp14:editId="74CB2CC3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A14721" w14:textId="77777777" w:rsidR="003C6DE0" w:rsidRDefault="003C6DE0">
      <w:pPr>
        <w:rPr>
          <w:rFonts w:ascii="Arial" w:hAnsi="Arial" w:cs="Arial"/>
          <w:color w:val="0000FF"/>
          <w:sz w:val="20"/>
          <w:szCs w:val="20"/>
        </w:rPr>
      </w:pPr>
    </w:p>
    <w:p w14:paraId="7732B864" w14:textId="77777777" w:rsidR="003C6DE0" w:rsidRDefault="003C6DE0">
      <w:pPr>
        <w:rPr>
          <w:rFonts w:ascii="Arial" w:hAnsi="Arial" w:cs="Arial"/>
          <w:color w:val="0000FF"/>
          <w:sz w:val="20"/>
          <w:szCs w:val="20"/>
        </w:rPr>
      </w:pPr>
    </w:p>
    <w:p w14:paraId="6FD8DABF" w14:textId="77777777" w:rsidR="003C6DE0" w:rsidRDefault="003C6DE0">
      <w:pPr>
        <w:rPr>
          <w:rFonts w:ascii="Arial" w:hAnsi="Arial" w:cs="Arial"/>
          <w:color w:val="0000FF"/>
          <w:sz w:val="20"/>
          <w:szCs w:val="20"/>
        </w:rPr>
      </w:pPr>
    </w:p>
    <w:p w14:paraId="6D4CCC7E" w14:textId="77777777" w:rsidR="003C6DE0" w:rsidRDefault="003C6DE0">
      <w:pPr>
        <w:rPr>
          <w:rFonts w:ascii="Arial" w:hAnsi="Arial" w:cs="Arial"/>
          <w:color w:val="0000FF"/>
          <w:sz w:val="20"/>
          <w:szCs w:val="20"/>
        </w:rPr>
      </w:pPr>
    </w:p>
    <w:p w14:paraId="364DE866" w14:textId="77777777" w:rsidR="003C6DE0" w:rsidRDefault="003C6DE0">
      <w:pPr>
        <w:rPr>
          <w:rFonts w:ascii="Arial" w:hAnsi="Arial" w:cs="Arial"/>
          <w:color w:val="0000FF"/>
          <w:sz w:val="20"/>
          <w:szCs w:val="20"/>
        </w:rPr>
      </w:pPr>
    </w:p>
    <w:p w14:paraId="65D956D0" w14:textId="77777777" w:rsidR="003C6DE0" w:rsidRDefault="003C6DE0">
      <w:pPr>
        <w:rPr>
          <w:rFonts w:ascii="Arial" w:hAnsi="Arial" w:cs="Arial"/>
          <w:color w:val="0000FF"/>
          <w:sz w:val="20"/>
          <w:szCs w:val="20"/>
        </w:rPr>
      </w:pPr>
    </w:p>
    <w:p w14:paraId="5DE44785" w14:textId="77777777" w:rsidR="003C6DE0" w:rsidRDefault="003C6DE0">
      <w:pPr>
        <w:pStyle w:val="BodyTextIndent"/>
        <w:spacing w:after="120"/>
        <w:ind w:left="0" w:firstLine="0"/>
        <w:rPr>
          <w:rFonts w:ascii="Arial" w:hAnsi="Arial" w:cs="Arial"/>
          <w:b/>
          <w:bCs/>
          <w:color w:val="0000FF"/>
          <w:sz w:val="20"/>
        </w:rPr>
      </w:pPr>
    </w:p>
    <w:p w14:paraId="1998B0FB" w14:textId="77777777" w:rsidR="003C6DE0" w:rsidRDefault="003C6DE0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11CA43BC" w14:textId="77777777" w:rsidR="003C6DE0" w:rsidRDefault="003C6DE0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3C6DE0" w14:paraId="57D995CC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3FC4" w14:textId="77777777" w:rsidR="003C6DE0" w:rsidRDefault="003C6DE0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0C15" w14:textId="3FD66767" w:rsidR="003C6DE0" w:rsidRDefault="00170E91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510B4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2021.018</w:t>
            </w:r>
            <w:r w:rsidR="00430146" w:rsidRPr="00510B4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0285F36" w14:textId="77777777" w:rsidR="003C6DE0" w:rsidRDefault="003C6DE0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3C6DE0" w14:paraId="373C6F15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154A4A0" w14:textId="3442EBB8" w:rsidR="003C6DE0" w:rsidRPr="00100ABB" w:rsidRDefault="003C6DE0" w:rsidP="005646F8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00ABB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>
              <w:rPr>
                <w:rFonts w:ascii="Arial" w:hAnsi="Arial" w:cs="Arial"/>
                <w:sz w:val="22"/>
                <w:szCs w:val="22"/>
              </w:rPr>
              <w:t>one</w:t>
            </w:r>
            <w:r w:rsidRPr="00100ABB">
              <w:rPr>
                <w:rFonts w:ascii="Arial" w:hAnsi="Arial" w:cs="Arial"/>
                <w:sz w:val="22"/>
                <w:szCs w:val="22"/>
              </w:rPr>
              <w:t xml:space="preserve"> new genus </w:t>
            </w:r>
            <w:r w:rsidR="005646F8">
              <w:rPr>
                <w:rFonts w:ascii="Arial" w:hAnsi="Arial" w:cs="Arial"/>
                <w:sz w:val="22"/>
                <w:szCs w:val="22"/>
              </w:rPr>
              <w:t>(</w:t>
            </w:r>
            <w:r w:rsidRPr="00132E31">
              <w:rPr>
                <w:rFonts w:ascii="Arial" w:hAnsi="Arial" w:cs="Arial"/>
                <w:i/>
                <w:sz w:val="22"/>
                <w:szCs w:val="22"/>
              </w:rPr>
              <w:t>Tralespevirus</w:t>
            </w:r>
            <w:r w:rsidR="005646F8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5646F8">
              <w:rPr>
                <w:rFonts w:ascii="Arial" w:hAnsi="Arial" w:cs="Arial"/>
                <w:sz w:val="22"/>
                <w:szCs w:val="22"/>
              </w:rPr>
              <w:t xml:space="preserve">two </w:t>
            </w:r>
            <w:r>
              <w:rPr>
                <w:rFonts w:ascii="Arial" w:hAnsi="Arial" w:cs="Arial"/>
                <w:sz w:val="22"/>
                <w:szCs w:val="22"/>
              </w:rPr>
              <w:t xml:space="preserve">new species </w:t>
            </w:r>
            <w:r w:rsidR="000A334C">
              <w:rPr>
                <w:rFonts w:ascii="Arial" w:hAnsi="Arial" w:cs="Arial"/>
                <w:sz w:val="22"/>
                <w:szCs w:val="22"/>
              </w:rPr>
              <w:t>(</w:t>
            </w:r>
            <w:r w:rsidR="000A334C" w:rsidRPr="001A172B">
              <w:rPr>
                <w:rFonts w:ascii="Arial" w:hAnsi="Arial" w:cs="Arial"/>
                <w:i/>
                <w:sz w:val="22"/>
                <w:szCs w:val="22"/>
              </w:rPr>
              <w:t>Tralespevirus lespedezae</w:t>
            </w:r>
            <w:r w:rsidR="005646F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646F8" w:rsidRPr="001A172B">
              <w:rPr>
                <w:rFonts w:ascii="Arial" w:hAnsi="Arial" w:cs="Arial"/>
                <w:sz w:val="22"/>
                <w:szCs w:val="22"/>
              </w:rPr>
              <w:t>and</w:t>
            </w:r>
            <w:r w:rsidR="005646F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646F8" w:rsidRPr="009B6EF1">
              <w:rPr>
                <w:rFonts w:ascii="Arial" w:hAnsi="Arial" w:cs="Arial"/>
                <w:i/>
                <w:sz w:val="22"/>
                <w:szCs w:val="22"/>
              </w:rPr>
              <w:t>Tralespevirus gompholobii</w:t>
            </w:r>
            <w:r w:rsidR="000A334C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 xml:space="preserve">in the subfamily </w:t>
            </w:r>
            <w:r w:rsidRPr="0019312E">
              <w:rPr>
                <w:rFonts w:ascii="Arial" w:hAnsi="Arial" w:cs="Arial"/>
                <w:i/>
                <w:sz w:val="22"/>
                <w:szCs w:val="22"/>
              </w:rPr>
              <w:t>Procedovirinae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510B48" w:rsidRPr="00510B48">
              <w:rPr>
                <w:rFonts w:ascii="Arial" w:hAnsi="Arial" w:cs="Arial"/>
                <w:i/>
                <w:iCs/>
                <w:sz w:val="22"/>
                <w:szCs w:val="22"/>
              </w:rPr>
              <w:t>Tolivirales</w:t>
            </w:r>
            <w:r w:rsidR="00510B48">
              <w:rPr>
                <w:rFonts w:ascii="Arial" w:hAnsi="Arial" w:cs="Arial"/>
                <w:sz w:val="22"/>
                <w:szCs w:val="22"/>
              </w:rPr>
              <w:t>:</w:t>
            </w:r>
            <w:r w:rsidR="00510B48" w:rsidRPr="00510B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312E">
              <w:rPr>
                <w:rFonts w:ascii="Arial" w:hAnsi="Arial" w:cs="Arial"/>
                <w:i/>
                <w:sz w:val="22"/>
                <w:szCs w:val="22"/>
              </w:rPr>
              <w:t>Tombusviridae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3C6DE0" w14:paraId="1D6DD46C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7E541E" w14:textId="77777777" w:rsidR="003C6DE0" w:rsidRDefault="003C6DE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7AFEB1" w14:textId="77777777" w:rsidR="003C6DE0" w:rsidRDefault="003C6DE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3C6DE0" w14:paraId="29382E0B" w14:textId="77777777">
        <w:tc>
          <w:tcPr>
            <w:tcW w:w="4368" w:type="dxa"/>
            <w:shd w:val="clear" w:color="auto" w:fill="auto"/>
          </w:tcPr>
          <w:p w14:paraId="1E897C68" w14:textId="77777777" w:rsidR="003C6DE0" w:rsidRDefault="003C6DE0"/>
        </w:tc>
        <w:tc>
          <w:tcPr>
            <w:tcW w:w="4703" w:type="dxa"/>
            <w:shd w:val="clear" w:color="auto" w:fill="auto"/>
          </w:tcPr>
          <w:p w14:paraId="1B766CC9" w14:textId="77777777" w:rsidR="003C6DE0" w:rsidRDefault="003C6DE0"/>
        </w:tc>
      </w:tr>
      <w:tr w:rsidR="003C6DE0" w14:paraId="36F17FF9" w14:textId="77777777">
        <w:tc>
          <w:tcPr>
            <w:tcW w:w="4368" w:type="dxa"/>
            <w:shd w:val="clear" w:color="auto" w:fill="auto"/>
          </w:tcPr>
          <w:p w14:paraId="3B18D58F" w14:textId="0659BB6D" w:rsidR="003C6DE0" w:rsidRDefault="007E4BE6" w:rsidP="007E4B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Scheets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 K, </w:t>
            </w:r>
            <w:r>
              <w:rPr>
                <w:rFonts w:ascii="Arial" w:hAnsi="Arial" w:cs="Arial"/>
                <w:sz w:val="22"/>
                <w:szCs w:val="22"/>
              </w:rPr>
              <w:t>Rubino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 L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Jordan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92D54">
              <w:rPr>
                <w:rFonts w:ascii="Arial" w:hAnsi="Arial" w:cs="Arial"/>
                <w:sz w:val="22"/>
                <w:szCs w:val="22"/>
              </w:rPr>
              <w:t>White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 KA, </w:t>
            </w:r>
            <w:r w:rsidR="00192D54">
              <w:rPr>
                <w:rFonts w:ascii="Arial" w:hAnsi="Arial" w:cs="Arial"/>
                <w:sz w:val="22"/>
                <w:szCs w:val="22"/>
              </w:rPr>
              <w:t>Hernandez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 C</w:t>
            </w:r>
          </w:p>
        </w:tc>
        <w:tc>
          <w:tcPr>
            <w:tcW w:w="4703" w:type="dxa"/>
            <w:shd w:val="clear" w:color="auto" w:fill="auto"/>
          </w:tcPr>
          <w:p w14:paraId="32D52B79" w14:textId="144D0303" w:rsidR="00192D54" w:rsidRDefault="003C6D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kay.scheets@okstate.edu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D6BC5">
              <w:rPr>
                <w:rFonts w:ascii="Arial" w:hAnsi="Arial" w:cs="Arial"/>
                <w:sz w:val="22"/>
                <w:szCs w:val="22"/>
              </w:rPr>
              <w:t>luisa.rubino@ipsp.cnr.it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192D54" w:rsidRPr="00192D54">
              <w:rPr>
                <w:rFonts w:ascii="Arial" w:hAnsi="Arial" w:cs="Arial"/>
                <w:sz w:val="22"/>
                <w:szCs w:val="22"/>
              </w:rPr>
              <w:t>ramon.jordan@usda.gov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192D54" w:rsidRPr="00192D54">
              <w:rPr>
                <w:rFonts w:ascii="Arial" w:hAnsi="Arial" w:cs="Arial"/>
                <w:sz w:val="22"/>
                <w:szCs w:val="22"/>
              </w:rPr>
              <w:t>kawhite@yorku.ca</w:t>
            </w:r>
            <w:r w:rsidR="003337B1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192D54" w:rsidRPr="00192D54">
              <w:rPr>
                <w:rFonts w:ascii="Arial" w:hAnsi="Arial" w:cs="Arial"/>
                <w:sz w:val="22"/>
                <w:szCs w:val="22"/>
              </w:rPr>
              <w:t>cahernan@ibmcp.upv.es</w:t>
            </w:r>
          </w:p>
        </w:tc>
      </w:tr>
    </w:tbl>
    <w:p w14:paraId="69C74414" w14:textId="77777777" w:rsidR="003C6DE0" w:rsidRPr="00A4273D" w:rsidRDefault="003C6DE0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C6DE0" w14:paraId="6C5C835B" w14:textId="77777777">
        <w:tc>
          <w:tcPr>
            <w:tcW w:w="9072" w:type="dxa"/>
            <w:shd w:val="clear" w:color="auto" w:fill="auto"/>
          </w:tcPr>
          <w:p w14:paraId="1C8B9E31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Oklahoma State University [KS]</w:t>
            </w:r>
          </w:p>
          <w:p w14:paraId="334078FF" w14:textId="4E2C69B3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  <w:r w:rsidRPr="003D6BC5">
              <w:rPr>
                <w:rFonts w:ascii="Arial" w:hAnsi="Arial" w:cs="Arial"/>
                <w:sz w:val="22"/>
                <w:szCs w:val="22"/>
              </w:rPr>
              <w:t>Institute fo</w:t>
            </w:r>
            <w:r>
              <w:rPr>
                <w:rFonts w:ascii="Arial" w:hAnsi="Arial" w:cs="Arial"/>
                <w:sz w:val="22"/>
                <w:szCs w:val="22"/>
              </w:rPr>
              <w:t xml:space="preserve">r Sustainable Plant Protection, </w:t>
            </w:r>
            <w:r w:rsidRPr="003D6BC5">
              <w:rPr>
                <w:rFonts w:ascii="Arial" w:hAnsi="Arial" w:cs="Arial"/>
                <w:sz w:val="22"/>
                <w:szCs w:val="22"/>
              </w:rPr>
              <w:t>Bari, Italy</w:t>
            </w:r>
            <w:r>
              <w:rPr>
                <w:rFonts w:ascii="Arial" w:hAnsi="Arial" w:cs="Arial"/>
                <w:sz w:val="22"/>
                <w:szCs w:val="22"/>
              </w:rPr>
              <w:t xml:space="preserve"> [LR]</w:t>
            </w:r>
          </w:p>
          <w:p w14:paraId="18DFD17F" w14:textId="57FA43F2" w:rsidR="00192D54" w:rsidRDefault="00192D54">
            <w:pPr>
              <w:rPr>
                <w:rFonts w:ascii="Arial" w:hAnsi="Arial" w:cs="Arial"/>
                <w:sz w:val="22"/>
                <w:szCs w:val="22"/>
              </w:rPr>
            </w:pPr>
            <w:r w:rsidRPr="00192D54">
              <w:rPr>
                <w:rFonts w:ascii="Arial" w:hAnsi="Arial" w:cs="Arial"/>
                <w:sz w:val="22"/>
                <w:szCs w:val="22"/>
              </w:rPr>
              <w:t>US National Arboretum, USDA-ARS [RJ]</w:t>
            </w:r>
          </w:p>
          <w:p w14:paraId="370D8CA8" w14:textId="0308EAFE" w:rsidR="00BF10A9" w:rsidRDefault="00BF10A9">
            <w:pPr>
              <w:rPr>
                <w:rFonts w:ascii="Arial" w:hAnsi="Arial" w:cs="Arial"/>
                <w:sz w:val="22"/>
                <w:szCs w:val="22"/>
              </w:rPr>
            </w:pPr>
            <w:r w:rsidRPr="00BF10A9">
              <w:rPr>
                <w:rFonts w:ascii="Arial" w:hAnsi="Arial" w:cs="Arial"/>
                <w:sz w:val="22"/>
                <w:szCs w:val="22"/>
              </w:rPr>
              <w:t>York University</w:t>
            </w:r>
            <w:r>
              <w:rPr>
                <w:rFonts w:ascii="Arial" w:hAnsi="Arial" w:cs="Arial"/>
                <w:sz w:val="22"/>
                <w:szCs w:val="22"/>
              </w:rPr>
              <w:t>, Toronto CA [KAW]</w:t>
            </w:r>
          </w:p>
          <w:p w14:paraId="4B6E9525" w14:textId="4FD23C0D" w:rsidR="003C6DE0" w:rsidRDefault="00192D54">
            <w:pPr>
              <w:rPr>
                <w:rFonts w:ascii="Arial" w:hAnsi="Arial" w:cs="Arial"/>
                <w:sz w:val="22"/>
                <w:szCs w:val="22"/>
              </w:rPr>
            </w:pPr>
            <w:r w:rsidRPr="00192D54">
              <w:rPr>
                <w:rFonts w:ascii="Arial" w:hAnsi="Arial" w:cs="Arial"/>
                <w:sz w:val="22"/>
                <w:szCs w:val="22"/>
              </w:rPr>
              <w:t>Instituto de Biología Molecular y Celular de Plantas</w:t>
            </w:r>
            <w:r w:rsidR="00BF10A9">
              <w:rPr>
                <w:rFonts w:ascii="Arial" w:hAnsi="Arial" w:cs="Arial"/>
                <w:sz w:val="22"/>
                <w:szCs w:val="22"/>
              </w:rPr>
              <w:t xml:space="preserve"> [CH]</w:t>
            </w:r>
          </w:p>
        </w:tc>
      </w:tr>
    </w:tbl>
    <w:p w14:paraId="34282EDF" w14:textId="77777777" w:rsidR="003C6DE0" w:rsidRDefault="003C6DE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C6DE0" w14:paraId="499EC2F8" w14:textId="77777777">
        <w:tc>
          <w:tcPr>
            <w:tcW w:w="9072" w:type="dxa"/>
            <w:shd w:val="clear" w:color="auto" w:fill="auto"/>
          </w:tcPr>
          <w:p w14:paraId="049B01C0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Kay Scheets</w:t>
            </w:r>
          </w:p>
        </w:tc>
      </w:tr>
    </w:tbl>
    <w:p w14:paraId="6AAA81FA" w14:textId="77777777" w:rsidR="003C6DE0" w:rsidRDefault="003C6DE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2A494484" w14:textId="77777777" w:rsidR="003C6DE0" w:rsidRDefault="003C6DE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C6DE0" w14:paraId="4FFA5438" w14:textId="77777777">
        <w:tc>
          <w:tcPr>
            <w:tcW w:w="9072" w:type="dxa"/>
            <w:shd w:val="clear" w:color="auto" w:fill="auto"/>
          </w:tcPr>
          <w:p w14:paraId="57D6369F" w14:textId="61105726" w:rsidR="003C6DE0" w:rsidRPr="005646F8" w:rsidRDefault="003C6DE0">
            <w:pPr>
              <w:rPr>
                <w:rFonts w:ascii="Arial" w:hAnsi="Arial" w:cs="Arial"/>
                <w:sz w:val="22"/>
                <w:szCs w:val="22"/>
              </w:rPr>
            </w:pPr>
            <w:r w:rsidRPr="001A172B">
              <w:rPr>
                <w:rFonts w:ascii="Arial" w:hAnsi="Arial" w:cs="Arial"/>
                <w:i/>
                <w:sz w:val="22"/>
                <w:szCs w:val="22"/>
              </w:rPr>
              <w:t>Tombusviridae</w:t>
            </w:r>
            <w:r w:rsidR="005646F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646F8">
              <w:rPr>
                <w:rFonts w:ascii="Arial" w:hAnsi="Arial" w:cs="Arial"/>
                <w:sz w:val="22"/>
                <w:szCs w:val="22"/>
              </w:rPr>
              <w:t>Study Group</w:t>
            </w:r>
          </w:p>
        </w:tc>
      </w:tr>
    </w:tbl>
    <w:p w14:paraId="517DB5BE" w14:textId="77777777" w:rsidR="003C6DE0" w:rsidRDefault="003C6DE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C6DE0" w14:paraId="4A97BCDC" w14:textId="77777777">
        <w:tc>
          <w:tcPr>
            <w:tcW w:w="9072" w:type="dxa"/>
            <w:shd w:val="clear" w:color="auto" w:fill="auto"/>
          </w:tcPr>
          <w:p w14:paraId="74570CEC" w14:textId="7FD502FB" w:rsidR="003C6DE0" w:rsidRDefault="000B015F" w:rsidP="000A33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majority of SG members provided input/editing of the proposal, which is reflected in the submitted version.</w:t>
            </w:r>
          </w:p>
        </w:tc>
      </w:tr>
    </w:tbl>
    <w:p w14:paraId="3A3518F7" w14:textId="77777777" w:rsidR="003C6DE0" w:rsidRDefault="003C6DE0"/>
    <w:p w14:paraId="220B9BCA" w14:textId="77777777" w:rsidR="003C6DE0" w:rsidRDefault="003C6DE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3C6DE0" w14:paraId="3E553848" w14:textId="77777777">
        <w:tc>
          <w:tcPr>
            <w:tcW w:w="4819" w:type="dxa"/>
            <w:shd w:val="clear" w:color="auto" w:fill="auto"/>
          </w:tcPr>
          <w:p w14:paraId="326468FA" w14:textId="77777777" w:rsidR="003C6DE0" w:rsidRDefault="003C6DE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511C1B6E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16, 2021</w:t>
            </w:r>
          </w:p>
        </w:tc>
      </w:tr>
      <w:tr w:rsidR="003C6DE0" w14:paraId="5D0F9052" w14:textId="77777777">
        <w:tc>
          <w:tcPr>
            <w:tcW w:w="4819" w:type="dxa"/>
            <w:shd w:val="clear" w:color="auto" w:fill="auto"/>
          </w:tcPr>
          <w:p w14:paraId="665CFC85" w14:textId="77777777" w:rsidR="003C6DE0" w:rsidRDefault="003C6DE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18505668" w14:textId="075DFD66" w:rsidR="003C6DE0" w:rsidRDefault="003C6DE0" w:rsidP="001762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</w:t>
            </w:r>
            <w:r w:rsidR="001762B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, 2021</w:t>
            </w:r>
          </w:p>
        </w:tc>
      </w:tr>
    </w:tbl>
    <w:p w14:paraId="39209100" w14:textId="77777777" w:rsidR="003C6DE0" w:rsidRDefault="003C6DE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C6DE0" w14:paraId="5DECD547" w14:textId="77777777">
        <w:tc>
          <w:tcPr>
            <w:tcW w:w="9072" w:type="dxa"/>
            <w:shd w:val="clear" w:color="auto" w:fill="auto"/>
          </w:tcPr>
          <w:p w14:paraId="31678677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9E586C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B3153B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4244C9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55B061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5C5F83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C92279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3C356D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A7CA6" w14:textId="77777777" w:rsidR="003C6DE0" w:rsidRDefault="003C6D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BEF0FD" w14:textId="77777777" w:rsidR="003C6DE0" w:rsidRDefault="003C6DE0" w:rsidP="000A334C">
      <w:pPr>
        <w:rPr>
          <w:rFonts w:ascii="Arial" w:hAnsi="Arial" w:cs="Arial"/>
          <w:b/>
          <w:color w:val="000000"/>
        </w:rPr>
      </w:pPr>
    </w:p>
    <w:p w14:paraId="752FFED6" w14:textId="77777777" w:rsidR="003C6DE0" w:rsidRDefault="003C6DE0" w:rsidP="000A334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4D504B48" w14:textId="77777777" w:rsidR="003C6DE0" w:rsidRDefault="003C6DE0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C64E698" w14:textId="77777777" w:rsidR="003C6DE0" w:rsidRDefault="003C6DE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C6DE0" w14:paraId="2115E4D8" w14:textId="77777777">
        <w:tc>
          <w:tcPr>
            <w:tcW w:w="9072" w:type="dxa"/>
            <w:shd w:val="clear" w:color="auto" w:fill="auto"/>
          </w:tcPr>
          <w:p w14:paraId="65EF1C19" w14:textId="0BC18689" w:rsidR="003C6DE0" w:rsidRDefault="005646F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5646F8">
              <w:rPr>
                <w:rFonts w:ascii="Arial" w:hAnsi="Arial" w:cs="Arial"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>1.01</w:t>
            </w:r>
            <w:r w:rsidR="00170E91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Cs/>
                <w:sz w:val="22"/>
                <w:szCs w:val="22"/>
              </w:rPr>
              <w:t>P.</w:t>
            </w:r>
            <w:r w:rsidR="00BE77F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>.Tombusviridae</w:t>
            </w:r>
            <w:r w:rsidRPr="005646F8">
              <w:rPr>
                <w:rFonts w:ascii="Arial" w:hAnsi="Arial" w:cs="Arial"/>
                <w:bCs/>
                <w:sz w:val="22"/>
                <w:szCs w:val="22"/>
              </w:rPr>
              <w:t>_1ng_2ns</w:t>
            </w:r>
          </w:p>
        </w:tc>
      </w:tr>
    </w:tbl>
    <w:p w14:paraId="5FF8EC50" w14:textId="77777777" w:rsidR="003C6DE0" w:rsidRDefault="003C6DE0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6B8E9B97" w14:textId="77777777" w:rsidR="003C6DE0" w:rsidRDefault="003C6DE0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C6DE0" w14:paraId="39B9A960" w14:textId="77777777">
        <w:tc>
          <w:tcPr>
            <w:tcW w:w="9072" w:type="dxa"/>
            <w:shd w:val="clear" w:color="auto" w:fill="auto"/>
          </w:tcPr>
          <w:p w14:paraId="58F3EA96" w14:textId="5BDDCB84" w:rsidR="003C6DE0" w:rsidRDefault="003C6DE0" w:rsidP="00817F7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D52C5">
              <w:rPr>
                <w:rFonts w:ascii="Arial" w:hAnsi="Arial" w:cs="Arial"/>
                <w:bCs/>
                <w:sz w:val="22"/>
                <w:szCs w:val="22"/>
              </w:rPr>
              <w:t>Two viruses</w:t>
            </w:r>
            <w:r w:rsidR="005646F8">
              <w:rPr>
                <w:rFonts w:ascii="Arial" w:hAnsi="Arial" w:cs="Arial"/>
                <w:bCs/>
                <w:sz w:val="22"/>
                <w:szCs w:val="22"/>
              </w:rPr>
              <w:t xml:space="preserve"> [</w:t>
            </w:r>
            <w:r w:rsidR="005646F8">
              <w:rPr>
                <w:rFonts w:ascii="Arial" w:hAnsi="Arial" w:cs="Arial"/>
                <w:sz w:val="22"/>
                <w:szCs w:val="22"/>
              </w:rPr>
              <w:t>t</w:t>
            </w:r>
            <w:r w:rsidR="005646F8" w:rsidRPr="00A4273D">
              <w:rPr>
                <w:rFonts w:ascii="Arial" w:hAnsi="Arial" w:cs="Arial"/>
                <w:sz w:val="22"/>
                <w:szCs w:val="22"/>
              </w:rPr>
              <w:t xml:space="preserve">railing lespedeza </w:t>
            </w:r>
            <w:r w:rsidR="005646F8">
              <w:rPr>
                <w:rFonts w:ascii="Arial" w:hAnsi="Arial" w:cs="Arial"/>
                <w:sz w:val="22"/>
                <w:szCs w:val="22"/>
              </w:rPr>
              <w:t xml:space="preserve">virus 1 (TLV1) and </w:t>
            </w:r>
            <w:r w:rsidR="005646F8" w:rsidRPr="00A4273D">
              <w:rPr>
                <w:rFonts w:ascii="Arial" w:hAnsi="Arial" w:cs="Arial"/>
                <w:sz w:val="22"/>
                <w:szCs w:val="22"/>
              </w:rPr>
              <w:t>G</w:t>
            </w:r>
            <w:r w:rsidR="005646F8">
              <w:rPr>
                <w:rFonts w:ascii="Arial" w:hAnsi="Arial" w:cs="Arial"/>
                <w:sz w:val="22"/>
                <w:szCs w:val="22"/>
              </w:rPr>
              <w:t xml:space="preserve">ompholobium virus A (GomVA)] 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collected via sampling of natural habitats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from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 opposite sides of the world were sequenced and identified as belonging to the family </w:t>
            </w:r>
            <w:r w:rsidRPr="00CD52C5">
              <w:rPr>
                <w:rFonts w:ascii="Arial" w:hAnsi="Arial" w:cs="Arial"/>
                <w:bCs/>
                <w:i/>
                <w:sz w:val="22"/>
                <w:szCs w:val="22"/>
              </w:rPr>
              <w:t>Tombusviridae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. The complete sequence or coding complete sequence of the pair indicate </w:t>
            </w:r>
            <w:r w:rsidR="00EE42A4">
              <w:rPr>
                <w:rFonts w:ascii="Arial" w:hAnsi="Arial" w:cs="Arial"/>
                <w:bCs/>
                <w:sz w:val="22"/>
                <w:szCs w:val="22"/>
              </w:rPr>
              <w:t xml:space="preserve">that 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they are more closely related to each other than to other </w:t>
            </w:r>
            <w:r w:rsidR="00EE42A4">
              <w:rPr>
                <w:rFonts w:ascii="Arial" w:hAnsi="Arial" w:cs="Arial"/>
                <w:bCs/>
                <w:sz w:val="22"/>
                <w:szCs w:val="22"/>
              </w:rPr>
              <w:t xml:space="preserve">members 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in </w:t>
            </w:r>
            <w:r w:rsidR="00EE42A4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family </w:t>
            </w:r>
            <w:r w:rsidRPr="00CD52C5">
              <w:rPr>
                <w:rFonts w:ascii="Arial" w:hAnsi="Arial" w:cs="Arial"/>
                <w:bCs/>
                <w:i/>
                <w:sz w:val="22"/>
                <w:szCs w:val="22"/>
              </w:rPr>
              <w:t>Tombusviridae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>, and they have a carmovirus-like arrangement of genes. Phylogenetic analysis of the</w:t>
            </w:r>
            <w:r>
              <w:rPr>
                <w:rFonts w:ascii="Arial" w:hAnsi="Arial" w:cs="Arial"/>
                <w:bCs/>
                <w:sz w:val="22"/>
                <w:szCs w:val="22"/>
              </w:rPr>
              <w:t>ir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646F8">
              <w:rPr>
                <w:rFonts w:ascii="Arial" w:hAnsi="Arial" w:cs="Arial"/>
                <w:bCs/>
                <w:sz w:val="22"/>
                <w:szCs w:val="22"/>
              </w:rPr>
              <w:t>RNA-dependent RNA polymerase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RdRp</w:t>
            </w:r>
            <w:r w:rsidR="005646F8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indicates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 that they are most closely related to alphacarmoviruses and pelarspoviruses, and they use a noncanonical start codon for their MP2</w:t>
            </w:r>
            <w:r w:rsidR="00EE42A4">
              <w:rPr>
                <w:rFonts w:ascii="Arial" w:hAnsi="Arial" w:cs="Arial"/>
                <w:bCs/>
                <w:sz w:val="22"/>
                <w:szCs w:val="22"/>
              </w:rPr>
              <w:t xml:space="preserve"> (movement protein 2)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 ORFs. </w:t>
            </w:r>
            <w:r w:rsidR="001D1EEA">
              <w:rPr>
                <w:rFonts w:ascii="Arial" w:hAnsi="Arial" w:cs="Arial"/>
                <w:bCs/>
                <w:sz w:val="22"/>
                <w:szCs w:val="22"/>
              </w:rPr>
              <w:t>Based on the phylogenetic and sequence analyses, w</w:t>
            </w:r>
            <w:r w:rsidRPr="00CD52C5">
              <w:rPr>
                <w:rFonts w:ascii="Arial" w:hAnsi="Arial" w:cs="Arial"/>
                <w:bCs/>
                <w:sz w:val="22"/>
                <w:szCs w:val="22"/>
              </w:rPr>
              <w:t xml:space="preserve">e propose </w:t>
            </w:r>
            <w:r w:rsidR="001D1EEA">
              <w:rPr>
                <w:rFonts w:ascii="Arial" w:hAnsi="Arial" w:cs="Arial"/>
                <w:bCs/>
                <w:sz w:val="22"/>
                <w:szCs w:val="22"/>
              </w:rPr>
              <w:t xml:space="preserve">the creation </w:t>
            </w:r>
            <w:r w:rsidR="00817F78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r w:rsidR="00817F78" w:rsidRPr="00CD52C5">
              <w:rPr>
                <w:rFonts w:ascii="Arial" w:hAnsi="Arial" w:cs="Arial"/>
                <w:bCs/>
                <w:sz w:val="22"/>
                <w:szCs w:val="22"/>
              </w:rPr>
              <w:t xml:space="preserve"> a new genus </w:t>
            </w:r>
            <w:r w:rsidR="00817F78" w:rsidRPr="00CD52C5">
              <w:rPr>
                <w:rFonts w:ascii="Arial" w:hAnsi="Arial" w:cs="Arial"/>
                <w:bCs/>
                <w:i/>
                <w:sz w:val="22"/>
                <w:szCs w:val="22"/>
              </w:rPr>
              <w:t>Tralesp</w:t>
            </w:r>
            <w:r w:rsidR="00817F78">
              <w:rPr>
                <w:rFonts w:ascii="Arial" w:hAnsi="Arial" w:cs="Arial"/>
                <w:bCs/>
                <w:i/>
                <w:sz w:val="22"/>
                <w:szCs w:val="22"/>
              </w:rPr>
              <w:t>e</w:t>
            </w:r>
            <w:r w:rsidR="00817F78" w:rsidRPr="00CD52C5">
              <w:rPr>
                <w:rFonts w:ascii="Arial" w:hAnsi="Arial" w:cs="Arial"/>
                <w:bCs/>
                <w:i/>
                <w:sz w:val="22"/>
                <w:szCs w:val="22"/>
              </w:rPr>
              <w:t>virus</w:t>
            </w:r>
            <w:r w:rsidR="00817F78" w:rsidRPr="00CD52C5">
              <w:rPr>
                <w:rFonts w:ascii="Arial" w:hAnsi="Arial" w:cs="Arial"/>
                <w:bCs/>
                <w:sz w:val="22"/>
                <w:szCs w:val="22"/>
              </w:rPr>
              <w:t xml:space="preserve"> within the subfamily</w:t>
            </w:r>
            <w:r w:rsidR="00817F78" w:rsidRPr="00CD52C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Procedovirinae</w:t>
            </w:r>
            <w:r w:rsidR="00817F78">
              <w:rPr>
                <w:rFonts w:ascii="Arial" w:hAnsi="Arial" w:cs="Arial"/>
                <w:bCs/>
                <w:sz w:val="22"/>
                <w:szCs w:val="22"/>
              </w:rPr>
              <w:t xml:space="preserve">, and </w:t>
            </w:r>
            <w:r w:rsidR="001D1EEA">
              <w:rPr>
                <w:rFonts w:ascii="Arial" w:hAnsi="Arial" w:cs="Arial"/>
                <w:bCs/>
                <w:sz w:val="22"/>
                <w:szCs w:val="22"/>
              </w:rPr>
              <w:t xml:space="preserve">of two new species, </w:t>
            </w:r>
            <w:r w:rsidR="001D1EEA" w:rsidRPr="001A172B">
              <w:rPr>
                <w:rFonts w:ascii="Arial" w:hAnsi="Arial" w:cs="Arial"/>
                <w:bCs/>
                <w:i/>
                <w:sz w:val="22"/>
                <w:szCs w:val="22"/>
              </w:rPr>
              <w:t>Tralespevirus lespedezae</w:t>
            </w:r>
            <w:r w:rsidR="001D1EEA"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r w:rsidR="001D1EEA" w:rsidRPr="001A172B">
              <w:rPr>
                <w:rFonts w:ascii="Arial" w:hAnsi="Arial" w:cs="Arial"/>
                <w:bCs/>
                <w:i/>
                <w:sz w:val="22"/>
                <w:szCs w:val="22"/>
              </w:rPr>
              <w:t>Tralespevirus gompholobii</w:t>
            </w:r>
            <w:r w:rsidR="00817F78">
              <w:rPr>
                <w:rFonts w:ascii="Arial" w:hAnsi="Arial" w:cs="Arial"/>
                <w:bCs/>
                <w:i/>
                <w:sz w:val="22"/>
                <w:szCs w:val="22"/>
              </w:rPr>
              <w:t>,</w:t>
            </w:r>
            <w:r w:rsidR="001D1EEA">
              <w:rPr>
                <w:rFonts w:ascii="Arial" w:hAnsi="Arial" w:cs="Arial"/>
                <w:bCs/>
                <w:sz w:val="22"/>
                <w:szCs w:val="22"/>
              </w:rPr>
              <w:t xml:space="preserve"> to accom</w:t>
            </w:r>
            <w:r w:rsidR="00EE42A4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1D1EEA">
              <w:rPr>
                <w:rFonts w:ascii="Arial" w:hAnsi="Arial" w:cs="Arial"/>
                <w:bCs/>
                <w:sz w:val="22"/>
                <w:szCs w:val="22"/>
              </w:rPr>
              <w:t>odate TLV1 and GomVA as their exemplar isolates, respectively</w:t>
            </w:r>
            <w:r w:rsidR="00817F78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D1EE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207B6AB7" w14:textId="77777777" w:rsidR="003C6DE0" w:rsidRPr="00EE42A4" w:rsidRDefault="003C6DE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2A398E0" w14:textId="77777777" w:rsidR="003C6DE0" w:rsidRDefault="003C6DE0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3C6DE0" w14:paraId="10402FFE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792C8A69" w14:textId="77777777" w:rsidR="003C6DE0" w:rsidRDefault="003C6DE0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3C6DE0" w14:paraId="273C77B6" w14:textId="77777777">
              <w:tc>
                <w:tcPr>
                  <w:tcW w:w="9002" w:type="dxa"/>
                  <w:shd w:val="clear" w:color="auto" w:fill="auto"/>
                </w:tcPr>
                <w:p w14:paraId="3CC6D176" w14:textId="1FF268F5" w:rsidR="003C6DE0" w:rsidRDefault="00C33FB8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Two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viruses were identified </w:t>
                  </w:r>
                  <w:r w:rsidR="00062996"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 w:rsidR="00062996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many different </w:t>
                  </w:r>
                  <w:r w:rsidR="00EF7651">
                    <w:rPr>
                      <w:rFonts w:ascii="Arial" w:hAnsi="Arial" w:cs="Arial"/>
                      <w:sz w:val="22"/>
                      <w:szCs w:val="22"/>
                    </w:rPr>
                    <w:t xml:space="preserve">plant </w:t>
                  </w:r>
                  <w:r w:rsidR="00062996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species </w:t>
                  </w:r>
                  <w:r w:rsidR="00062996">
                    <w:rPr>
                      <w:rFonts w:ascii="Arial" w:hAnsi="Arial" w:cs="Arial"/>
                      <w:sz w:val="22"/>
                      <w:szCs w:val="22"/>
                    </w:rPr>
                    <w:t xml:space="preserve">that were collected from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natural habitats</w:t>
                  </w:r>
                  <w:r w:rsidR="00062996">
                    <w:rPr>
                      <w:rFonts w:ascii="Arial" w:hAnsi="Arial" w:cs="Arial"/>
                      <w:sz w:val="22"/>
                      <w:szCs w:val="22"/>
                    </w:rPr>
                    <w:t>, regardless of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whether there were any symptoms, using methods </w:t>
                  </w:r>
                  <w:r w:rsidR="00062996">
                    <w:rPr>
                      <w:rFonts w:ascii="Arial" w:hAnsi="Arial" w:cs="Arial"/>
                      <w:sz w:val="22"/>
                      <w:szCs w:val="22"/>
                    </w:rPr>
                    <w:t>allowing to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synthesize and sequence cDNAs of any virus containing an RNA genom</w:t>
                  </w:r>
                  <w:r w:rsidR="003C6DE0" w:rsidRPr="00684568">
                    <w:rPr>
                      <w:rFonts w:ascii="Arial" w:hAnsi="Arial" w:cs="Arial"/>
                      <w:sz w:val="22"/>
                      <w:szCs w:val="22"/>
                    </w:rPr>
                    <w:t>e [</w:t>
                  </w:r>
                  <w:r w:rsidR="0028491B" w:rsidRPr="00684568">
                    <w:rPr>
                      <w:rFonts w:ascii="Arial" w:hAnsi="Arial" w:cs="Arial"/>
                      <w:sz w:val="22"/>
                      <w:szCs w:val="22"/>
                    </w:rPr>
                    <w:t>1, 2</w:t>
                  </w:r>
                  <w:r w:rsidR="003C6DE0" w:rsidRPr="00684568">
                    <w:rPr>
                      <w:rFonts w:ascii="Arial" w:hAnsi="Arial" w:cs="Arial"/>
                      <w:sz w:val="22"/>
                      <w:szCs w:val="22"/>
                    </w:rPr>
                    <w:t>].</w:t>
                  </w:r>
                </w:p>
                <w:p w14:paraId="325E6453" w14:textId="48819DD7" w:rsidR="003C6DE0" w:rsidRDefault="00C33FB8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The complete sequence of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railing lespedeza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virus 1 (TLV1) was obtained from the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legume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C6DE0" w:rsidRPr="002511E0">
                    <w:rPr>
                      <w:rFonts w:ascii="Arial" w:hAnsi="Arial" w:cs="Arial"/>
                      <w:i/>
                      <w:sz w:val="22"/>
                      <w:szCs w:val="22"/>
                    </w:rPr>
                    <w:t>Lespedeza procumbens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n an Oklahoma tallgrass prairie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(2014.008aP.A.v3.Tombusviridae_sp TLV1)</w:t>
                  </w:r>
                  <w:r w:rsidR="003D2C31">
                    <w:rPr>
                      <w:rFonts w:ascii="Arial" w:hAnsi="Arial" w:cs="Arial"/>
                      <w:sz w:val="22"/>
                      <w:szCs w:val="22"/>
                    </w:rPr>
                    <w:t xml:space="preserve"> [</w:t>
                  </w:r>
                  <w:r w:rsidR="005C4274">
                    <w:rPr>
                      <w:rFonts w:ascii="Arial" w:hAnsi="Arial" w:cs="Arial"/>
                      <w:sz w:val="22"/>
                      <w:szCs w:val="22"/>
                    </w:rPr>
                    <w:t xml:space="preserve">1, </w:t>
                  </w:r>
                  <w:r w:rsidR="003D2C31">
                    <w:rPr>
                      <w:rFonts w:ascii="Arial" w:hAnsi="Arial" w:cs="Arial"/>
                      <w:sz w:val="22"/>
                      <w:szCs w:val="22"/>
                    </w:rPr>
                    <w:t>3]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17E26">
                    <w:rPr>
                      <w:rFonts w:ascii="Arial" w:hAnsi="Arial" w:cs="Arial"/>
                      <w:sz w:val="22"/>
                      <w:szCs w:val="22"/>
                    </w:rPr>
                    <w:t>Based on t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he sequence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and the genome organization</w:t>
                  </w:r>
                  <w:r w:rsidR="00017E26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TLV1 </w:t>
                  </w:r>
                  <w:r w:rsidR="00017E26">
                    <w:rPr>
                      <w:rFonts w:ascii="Arial" w:hAnsi="Arial" w:cs="Arial"/>
                      <w:sz w:val="22"/>
                      <w:szCs w:val="22"/>
                    </w:rPr>
                    <w:t>was recently assigned to a species</w:t>
                  </w:r>
                  <w:r w:rsidR="00BB0DBA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017E26"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Trailing lespedeza virus 1</w:t>
                  </w:r>
                  <w:r w:rsidR="00017E26"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017E26">
                    <w:rPr>
                      <w:rFonts w:ascii="Arial" w:hAnsi="Arial" w:cs="Arial"/>
                      <w:sz w:val="22"/>
                      <w:szCs w:val="22"/>
                    </w:rPr>
                    <w:t xml:space="preserve">which was unassigned to any genus in </w:t>
                  </w:r>
                  <w:r w:rsidR="00017E26"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the family </w:t>
                  </w:r>
                  <w:r w:rsidR="00017E26"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Tombusvirida</w:t>
                  </w:r>
                  <w:r w:rsidR="0073229C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="00017E26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17F78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he predicted proteins and RNA sequence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s/structures suggest </w:t>
                  </w:r>
                  <w:r w:rsidR="00BB0DBA">
                    <w:rPr>
                      <w:rFonts w:ascii="Arial" w:hAnsi="Arial" w:cs="Arial"/>
                      <w:sz w:val="22"/>
                      <w:szCs w:val="22"/>
                    </w:rPr>
                    <w:t>that TLV1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makes one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B2124">
                    <w:rPr>
                      <w:rFonts w:ascii="Arial" w:hAnsi="Arial" w:cs="Arial"/>
                      <w:sz w:val="22"/>
                      <w:szCs w:val="22"/>
                    </w:rPr>
                    <w:t>subgenomic RNA (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sgRNA</w:t>
                  </w:r>
                  <w:r w:rsidR="00AB2124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and is most closely related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both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to pelarspoviruses and alphacarmoviruses.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The virus genome is predicted to contain </w:t>
                  </w:r>
                  <w:r w:rsidR="00817F78">
                    <w:rPr>
                      <w:rFonts w:ascii="Arial" w:hAnsi="Arial" w:cs="Arial"/>
                      <w:sz w:val="22"/>
                      <w:szCs w:val="22"/>
                    </w:rPr>
                    <w:t>open reading frames (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ORFs</w:t>
                  </w:r>
                  <w:r w:rsidR="00817F78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encoding a 28-kDa replicase-associated protein, an 88</w:t>
                  </w:r>
                  <w:r w:rsidR="00826CB4">
                    <w:rPr>
                      <w:rFonts w:ascii="Arial" w:hAnsi="Arial" w:cs="Arial"/>
                      <w:sz w:val="22"/>
                      <w:szCs w:val="22"/>
                    </w:rPr>
                    <w:t>.1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kDa RNA-dependent RNA polymerase (RdRp), two movement proteins (MPs), and a 3'-located 37</w:t>
                  </w:r>
                  <w:r w:rsidR="00826CB4">
                    <w:rPr>
                      <w:rFonts w:ascii="Arial" w:hAnsi="Arial" w:cs="Arial"/>
                      <w:sz w:val="22"/>
                      <w:szCs w:val="22"/>
                    </w:rPr>
                    <w:t>.2</w:t>
                  </w:r>
                  <w:r w:rsidR="0027397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kDa coat protein (CP).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TLV1 RNA sequence and structure analyses indicate</w:t>
                  </w:r>
                  <w:r w:rsidR="00BB0DBA"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that the 5' and 3' </w:t>
                  </w:r>
                  <w:r w:rsidR="00AB2124">
                    <w:rPr>
                      <w:rFonts w:ascii="Arial" w:hAnsi="Arial" w:cs="Arial"/>
                      <w:sz w:val="22"/>
                      <w:szCs w:val="22"/>
                    </w:rPr>
                    <w:t>untranslated regions (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UTRs</w:t>
                  </w:r>
                  <w:r w:rsidR="00AB2124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and internal regions produce structures used by tombusvirids to control replication, sgRNA synthesis, and correctly translate all the viral </w:t>
                  </w:r>
                  <w:r w:rsidR="00BB0DBA">
                    <w:rPr>
                      <w:rFonts w:ascii="Arial" w:hAnsi="Arial" w:cs="Arial"/>
                      <w:sz w:val="22"/>
                      <w:szCs w:val="22"/>
                    </w:rPr>
                    <w:t>mRNAs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6A3B906D" w14:textId="38447E9E" w:rsidR="003C6DE0" w:rsidRDefault="00C33FB8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    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="003C6DE0" w:rsidRPr="00684568">
                    <w:rPr>
                      <w:rFonts w:ascii="Arial" w:hAnsi="Arial" w:cs="Arial"/>
                      <w:sz w:val="22"/>
                      <w:szCs w:val="22"/>
                    </w:rPr>
                    <w:t xml:space="preserve">ompholobium virus A (GomVA) was found in </w:t>
                  </w:r>
                  <w:r w:rsidR="003C6DE0" w:rsidRPr="00684568">
                    <w:rPr>
                      <w:rFonts w:ascii="Arial" w:hAnsi="Arial" w:cs="Arial"/>
                      <w:i/>
                      <w:sz w:val="22"/>
                      <w:szCs w:val="22"/>
                    </w:rPr>
                    <w:t>Gompholobium preissii</w:t>
                  </w:r>
                  <w:r w:rsidR="003C6DE0" w:rsidRPr="00684568">
                    <w:rPr>
                      <w:rFonts w:ascii="Arial" w:hAnsi="Arial" w:cs="Arial"/>
                      <w:sz w:val="22"/>
                      <w:szCs w:val="22"/>
                    </w:rPr>
                    <w:t xml:space="preserve"> in southwestern Australia [</w:t>
                  </w:r>
                  <w:r w:rsidR="003D2C31" w:rsidRPr="00684568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3C6DE0" w:rsidRPr="00684568">
                    <w:rPr>
                      <w:rFonts w:ascii="Arial" w:hAnsi="Arial" w:cs="Arial"/>
                      <w:sz w:val="22"/>
                      <w:szCs w:val="22"/>
                    </w:rPr>
                    <w:t>]. T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he sequence assembled for GomVA indicates </w:t>
                  </w:r>
                  <w:r w:rsidR="00BB0DBA">
                    <w:rPr>
                      <w:rFonts w:ascii="Arial" w:hAnsi="Arial" w:cs="Arial"/>
                      <w:sz w:val="22"/>
                      <w:szCs w:val="22"/>
                    </w:rPr>
                    <w:t xml:space="preserve">that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it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is also related to pelarspoviruses and alphacarmoviruses with a genome organization comparable to that of TLV1,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encod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ing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proteins similar to carmovirus-like tombusvirids</w:t>
                  </w:r>
                  <w:r w:rsidR="00826CB4">
                    <w:rPr>
                      <w:rFonts w:ascii="Arial" w:hAnsi="Arial" w:cs="Arial"/>
                      <w:sz w:val="22"/>
                      <w:szCs w:val="22"/>
                    </w:rPr>
                    <w:t>, including a</w:t>
                  </w:r>
                  <w:r w:rsidR="00A67BF5"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  <w:r w:rsidR="00AE0C20">
                    <w:rPr>
                      <w:rFonts w:ascii="Arial" w:hAnsi="Arial" w:cs="Arial"/>
                      <w:sz w:val="22"/>
                      <w:szCs w:val="22"/>
                    </w:rPr>
                    <w:t xml:space="preserve"> 88.5</w:t>
                  </w:r>
                  <w:r w:rsidR="00826CB4">
                    <w:rPr>
                      <w:rFonts w:ascii="Arial" w:hAnsi="Arial" w:cs="Arial"/>
                      <w:sz w:val="22"/>
                      <w:szCs w:val="22"/>
                    </w:rPr>
                    <w:t xml:space="preserve"> kDa RdR</w:t>
                  </w:r>
                  <w:r w:rsidR="00273979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826CB4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AF5B73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="00826CB4">
                    <w:rPr>
                      <w:rFonts w:ascii="Arial" w:hAnsi="Arial" w:cs="Arial"/>
                      <w:sz w:val="22"/>
                      <w:szCs w:val="22"/>
                    </w:rPr>
                    <w:t>37.3 kDa CP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B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ut analyses of the 5' and 3' UTRs </w:t>
                  </w:r>
                  <w:r w:rsidR="008C30B5">
                    <w:rPr>
                      <w:rFonts w:ascii="Arial" w:hAnsi="Arial" w:cs="Arial"/>
                      <w:sz w:val="22"/>
                      <w:szCs w:val="22"/>
                    </w:rPr>
                    <w:t xml:space="preserve">suggested 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that the Gen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B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ank </w:t>
                  </w:r>
                  <w:r w:rsidR="003D2C31">
                    <w:rPr>
                      <w:rFonts w:ascii="Arial" w:hAnsi="Arial" w:cs="Arial"/>
                      <w:sz w:val="22"/>
                      <w:szCs w:val="22"/>
                    </w:rPr>
                    <w:t xml:space="preserve">sequence </w:t>
                  </w:r>
                  <w:r w:rsidR="008C30B5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8C30B5" w:rsidRPr="003C6DE0">
                    <w:rPr>
                      <w:rFonts w:ascii="Arial" w:hAnsi="Arial" w:cs="Arial"/>
                      <w:sz w:val="20"/>
                      <w:szCs w:val="20"/>
                    </w:rPr>
                    <w:t>KX184304</w:t>
                  </w:r>
                  <w:r w:rsidR="008C30B5">
                    <w:rPr>
                      <w:rFonts w:ascii="Arial" w:hAnsi="Arial" w:cs="Arial"/>
                      <w:sz w:val="22"/>
                      <w:szCs w:val="22"/>
                    </w:rPr>
                    <w:t xml:space="preserve">) lacks the expected 5' and 3' UTRs or contains inaccurate terminal sequences.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Therefore, the sequence for GomVA will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 xml:space="preserve"> be described as "</w:t>
                  </w:r>
                  <w:r w:rsidR="003C6DE0" w:rsidRPr="004F13F9">
                    <w:rPr>
                      <w:rFonts w:ascii="Arial" w:hAnsi="Arial" w:cs="Arial"/>
                      <w:b/>
                      <w:sz w:val="22"/>
                      <w:szCs w:val="22"/>
                    </w:rPr>
                    <w:t>coding complete</w:t>
                  </w:r>
                  <w:r w:rsidR="003C6DE0" w:rsidRPr="00A4273D">
                    <w:rPr>
                      <w:rFonts w:ascii="Arial" w:hAnsi="Arial" w:cs="Arial"/>
                      <w:sz w:val="22"/>
                      <w:szCs w:val="22"/>
                    </w:rPr>
                    <w:t>".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GomVA RdR</w:t>
                  </w:r>
                  <w:r w:rsidR="00273979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ha</w:t>
                  </w:r>
                  <w:r w:rsidR="00EF7651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C30B5">
                    <w:rPr>
                      <w:rFonts w:ascii="Arial" w:hAnsi="Arial" w:cs="Arial"/>
                      <w:sz w:val="22"/>
                      <w:szCs w:val="22"/>
                    </w:rPr>
                    <w:t xml:space="preserve">the highest sequence identity to </w:t>
                  </w:r>
                  <w:r w:rsidR="008C30B5" w:rsidRPr="00CB582A">
                    <w:rPr>
                      <w:rFonts w:ascii="Arial" w:hAnsi="Arial" w:cs="Arial"/>
                      <w:sz w:val="22"/>
                      <w:szCs w:val="22"/>
                    </w:rPr>
                    <w:t>TLV1</w:t>
                  </w:r>
                  <w:r w:rsidR="008C30B5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46%</w:t>
                  </w:r>
                  <w:r w:rsidR="008C30B5">
                    <w:rPr>
                      <w:rFonts w:ascii="Arial" w:hAnsi="Arial" w:cs="Arial"/>
                      <w:sz w:val="22"/>
                      <w:szCs w:val="22"/>
                    </w:rPr>
                    <w:t xml:space="preserve"> for RdRP and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37% </w:t>
                  </w:r>
                  <w:r w:rsidR="008C30B5">
                    <w:rPr>
                      <w:rFonts w:ascii="Arial" w:hAnsi="Arial" w:cs="Arial"/>
                      <w:sz w:val="22"/>
                      <w:szCs w:val="22"/>
                    </w:rPr>
                    <w:t>for CP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, thus GomVA should be considered as a representative member of a new species.</w:t>
                  </w:r>
                  <w:r w:rsidR="002F5C5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F5C5D" w:rsidRPr="00D31D67">
                    <w:rPr>
                      <w:rFonts w:ascii="Arial" w:hAnsi="Arial" w:cs="Arial"/>
                      <w:sz w:val="22"/>
                    </w:rPr>
                    <w:t>Phylogenetic analysis of the RdRps of tombusvirids</w:t>
                  </w:r>
                  <w:r w:rsidR="005C427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F5C5D">
                    <w:rPr>
                      <w:rFonts w:ascii="Arial" w:hAnsi="Arial" w:cs="Arial"/>
                      <w:sz w:val="22"/>
                      <w:szCs w:val="22"/>
                    </w:rPr>
                    <w:t>including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TLV1 and GomVA RdR</w:t>
                  </w:r>
                  <w:r w:rsidR="00273979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6207F3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F5C5D" w:rsidRPr="002F5C5D">
                    <w:rPr>
                      <w:rFonts w:ascii="Arial" w:hAnsi="Arial" w:cs="Arial"/>
                      <w:sz w:val="22"/>
                      <w:szCs w:val="22"/>
                    </w:rPr>
                    <w:t xml:space="preserve">using MEGA7 </w:t>
                  </w:r>
                  <w:r w:rsidR="00FC1AA7">
                    <w:rPr>
                      <w:rFonts w:ascii="Arial" w:hAnsi="Arial" w:cs="Arial"/>
                      <w:sz w:val="22"/>
                      <w:szCs w:val="22"/>
                    </w:rPr>
                    <w:t xml:space="preserve">[4] </w:t>
                  </w:r>
                  <w:r w:rsidR="002F5C5D">
                    <w:rPr>
                      <w:rFonts w:ascii="Arial" w:hAnsi="Arial" w:cs="Arial"/>
                      <w:sz w:val="22"/>
                      <w:szCs w:val="22"/>
                    </w:rPr>
                    <w:t xml:space="preserve">shows </w:t>
                  </w:r>
                  <w:r w:rsidR="00B92C2F">
                    <w:rPr>
                      <w:rFonts w:ascii="Arial" w:hAnsi="Arial" w:cs="Arial"/>
                      <w:sz w:val="22"/>
                      <w:szCs w:val="22"/>
                    </w:rPr>
                    <w:t xml:space="preserve">the two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sequences cluster together </w:t>
                  </w:r>
                  <w:r w:rsidR="002F5C5D">
                    <w:rPr>
                      <w:rFonts w:ascii="Arial" w:hAnsi="Arial" w:cs="Arial"/>
                      <w:sz w:val="22"/>
                      <w:szCs w:val="22"/>
                    </w:rPr>
                    <w:t xml:space="preserve">on a branch well-separated from the most similar </w:t>
                  </w:r>
                  <w:r w:rsidR="006207F3">
                    <w:rPr>
                      <w:rFonts w:ascii="Arial" w:hAnsi="Arial" w:cs="Arial"/>
                      <w:sz w:val="22"/>
                      <w:szCs w:val="22"/>
                    </w:rPr>
                    <w:t xml:space="preserve">members in the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genera </w:t>
                  </w:r>
                  <w:r w:rsidR="003C6DE0"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Alphacarmovirus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3C6DE0"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Pelarspovirus</w:t>
                  </w:r>
                  <w:r w:rsidR="0073229C">
                    <w:rPr>
                      <w:rFonts w:ascii="Arial" w:hAnsi="Arial" w:cs="Arial"/>
                      <w:sz w:val="22"/>
                      <w:szCs w:val="22"/>
                    </w:rPr>
                    <w:t xml:space="preserve"> in the subfamily </w:t>
                  </w:r>
                  <w:r w:rsidR="0073229C"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Procedovirinae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. Therefore, we propose</w:t>
                  </w:r>
                  <w:r w:rsidR="009B6EF1">
                    <w:rPr>
                      <w:rFonts w:ascii="Arial" w:hAnsi="Arial" w:cs="Arial"/>
                      <w:sz w:val="22"/>
                      <w:szCs w:val="22"/>
                    </w:rPr>
                    <w:t xml:space="preserve"> the following:</w:t>
                  </w:r>
                </w:p>
                <w:p w14:paraId="0A20A25B" w14:textId="77777777" w:rsidR="005C4274" w:rsidRDefault="005C4274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1014118" w14:textId="637A4540" w:rsidR="003C6DE0" w:rsidRPr="00132E31" w:rsidRDefault="003C6DE0" w:rsidP="000A334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>create the new genus</w:t>
                  </w:r>
                  <w:r>
                    <w:t xml:space="preserve"> </w:t>
                  </w:r>
                  <w:r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Tralespevirus </w:t>
                  </w: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in the subfamily </w:t>
                  </w:r>
                  <w:r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Procedovirinae</w:t>
                  </w: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  <w:p w14:paraId="482B0CDC" w14:textId="2C90ED0E" w:rsidR="003C6DE0" w:rsidRPr="00132E31" w:rsidRDefault="003C6DE0" w:rsidP="000A334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assign </w:t>
                  </w:r>
                  <w:r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Trailing lespedeza virus 1</w:t>
                  </w: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, a hitherto unassigned species in the family </w:t>
                  </w:r>
                  <w:r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Tombusviridae</w:t>
                  </w: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>, to the new genus</w:t>
                  </w:r>
                  <w:r w:rsidRPr="00E8246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Tralespevirus</w:t>
                  </w:r>
                  <w:r w:rsidRPr="00E82467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36993747" w14:textId="110D710A" w:rsidR="003C6DE0" w:rsidRPr="00132E31" w:rsidRDefault="003C6DE0" w:rsidP="000A334C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rename the species </w:t>
                  </w:r>
                  <w:r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Trailing lespedeza virus 1 Tralesp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Pr="00132E31">
                    <w:rPr>
                      <w:rFonts w:ascii="Arial" w:hAnsi="Arial" w:cs="Arial"/>
                      <w:i/>
                      <w:sz w:val="22"/>
                      <w:szCs w:val="22"/>
                    </w:rPr>
                    <w:t>virus lespedezae</w:t>
                  </w:r>
                  <w:r w:rsidRPr="00132E31">
                    <w:rPr>
                      <w:rFonts w:ascii="Arial" w:hAnsi="Arial" w:cs="Arial"/>
                      <w:sz w:val="22"/>
                      <w:szCs w:val="22"/>
                    </w:rPr>
                    <w:t xml:space="preserve"> to fulfil the new binomial nomenclature rules for virus species; </w:t>
                  </w:r>
                </w:p>
                <w:p w14:paraId="2EEA7317" w14:textId="4BB653E4" w:rsidR="003C6DE0" w:rsidRPr="009B6EF1" w:rsidRDefault="009B6EF1" w:rsidP="009B6EF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817F78" w:rsidRPr="009B6EF1"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="00817F78">
                    <w:rPr>
                      <w:rFonts w:ascii="Arial" w:hAnsi="Arial" w:cs="Arial"/>
                      <w:sz w:val="22"/>
                      <w:szCs w:val="22"/>
                    </w:rPr>
                    <w:t>reate</w:t>
                  </w:r>
                  <w:r w:rsidR="00817F78" w:rsidRPr="009B6EF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C6DE0" w:rsidRPr="009B6EF1">
                    <w:rPr>
                      <w:rFonts w:ascii="Arial" w:hAnsi="Arial" w:cs="Arial"/>
                      <w:sz w:val="22"/>
                      <w:szCs w:val="22"/>
                    </w:rPr>
                    <w:t xml:space="preserve">the novel species </w:t>
                  </w:r>
                  <w:r w:rsidR="003C6DE0" w:rsidRPr="009B6EF1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Tralespevirus gompholobii</w:t>
                  </w:r>
                  <w:r w:rsidR="003C6DE0" w:rsidRPr="009B6EF1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734DFA17" w14:textId="77777777" w:rsidR="003C6DE0" w:rsidRDefault="003C6DE0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</w:t>
                  </w:r>
                </w:p>
                <w:p w14:paraId="1180422A" w14:textId="77777777" w:rsidR="003C6DE0" w:rsidRDefault="003C6DE0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E31">
                    <w:rPr>
                      <w:rFonts w:ascii="Arial" w:hAnsi="Arial" w:cs="Arial"/>
                      <w:b/>
                      <w:sz w:val="22"/>
                      <w:szCs w:val="22"/>
                    </w:rPr>
                    <w:t>Species demarcation criteria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0076F7D7" w14:textId="6E549525" w:rsidR="003C6DE0" w:rsidRDefault="005C4274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The species demarcation criteria for similarity of the complete replicase and coat protein for alphacarmoviruses, betacarmoviruses, gammacarmoviruses, pelarsp</w:t>
                  </w:r>
                  <w:r w:rsidR="00273979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viruses, and panicoviruses are "less than 75%", and we propose to use the same criteria for genus </w:t>
                  </w:r>
                  <w:r w:rsidR="003C6DE0" w:rsidRPr="00B506D2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Tralesp</w:t>
                  </w:r>
                  <w:r w:rsid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="003C6DE0" w:rsidRPr="00B506D2">
                    <w:rPr>
                      <w:rFonts w:ascii="Arial" w:hAnsi="Arial" w:cs="Arial"/>
                      <w:i/>
                      <w:sz w:val="22"/>
                      <w:szCs w:val="22"/>
                    </w:rPr>
                    <w:t>virus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F0E9785" w14:textId="77777777" w:rsidR="003C6DE0" w:rsidRDefault="003C6DE0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DD7ADCD" w14:textId="77777777" w:rsidR="003C6DE0" w:rsidRDefault="003C6DE0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82467">
                    <w:rPr>
                      <w:rFonts w:ascii="Arial" w:hAnsi="Arial" w:cs="Arial"/>
                      <w:b/>
                      <w:sz w:val="22"/>
                      <w:szCs w:val="22"/>
                    </w:rPr>
                    <w:t>Origin of names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</w:p>
                <w:p w14:paraId="76334073" w14:textId="6EC2C1FE" w:rsidR="003C6DE0" w:rsidRPr="00931925" w:rsidRDefault="005C4274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The name of the genus </w:t>
                  </w:r>
                  <w:r w:rsidR="003C6DE0" w:rsidRPr="00E82467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Tralesp</w:t>
                  </w:r>
                  <w:r w:rsid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="003C6DE0" w:rsidRPr="00E82467">
                    <w:rPr>
                      <w:rFonts w:ascii="Arial" w:hAnsi="Arial" w:cs="Arial"/>
                      <w:i/>
                      <w:sz w:val="22"/>
                      <w:szCs w:val="22"/>
                    </w:rPr>
                    <w:t>virus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derives from the English name of the host for TLV1 "</w:t>
                  </w:r>
                  <w:r w:rsidR="003C6DE0" w:rsidRPr="00E82467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tra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iling </w:t>
                  </w:r>
                  <w:r w:rsidR="003C6DE0" w:rsidRPr="00E82467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les</w:t>
                  </w:r>
                  <w:r w:rsidR="003C6DE0" w:rsidRPr="00977A23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pe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>dez</w:t>
                  </w:r>
                  <w:r w:rsidR="003C6DE0" w:rsidRPr="004C5CBF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". The name of the species </w:t>
                  </w:r>
                  <w:r w:rsidR="003C6DE0" w:rsidRPr="00E82467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Tralesp</w:t>
                  </w:r>
                  <w:r w:rsid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="003C6DE0" w:rsidRPr="00E82467">
                    <w:rPr>
                      <w:rFonts w:ascii="Arial" w:hAnsi="Arial" w:cs="Arial"/>
                      <w:i/>
                      <w:sz w:val="22"/>
                      <w:szCs w:val="22"/>
                    </w:rPr>
                    <w:t>virus lespedezae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derives from the host species </w:t>
                  </w:r>
                  <w:r w:rsidR="003C6DE0" w:rsidRPr="002511E0">
                    <w:rPr>
                      <w:rFonts w:ascii="Arial" w:hAnsi="Arial" w:cs="Arial"/>
                      <w:i/>
                      <w:sz w:val="22"/>
                      <w:szCs w:val="22"/>
                    </w:rPr>
                    <w:t>Lespedeza procumbens</w:t>
                  </w:r>
                  <w:r w:rsid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The name of the species </w:t>
                  </w:r>
                  <w:r w:rsidR="003C6DE0" w:rsidRPr="00332199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Tralesp</w:t>
                  </w:r>
                  <w:r w:rsid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>e</w:t>
                  </w:r>
                  <w:r w:rsidR="003C6DE0" w:rsidRPr="00332199">
                    <w:rPr>
                      <w:rFonts w:ascii="Arial" w:hAnsi="Arial" w:cs="Arial"/>
                      <w:i/>
                      <w:sz w:val="22"/>
                      <w:szCs w:val="22"/>
                    </w:rPr>
                    <w:t>virus</w:t>
                  </w:r>
                  <w:r w:rsid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gompholobii</w:t>
                  </w:r>
                  <w:r w:rsidR="003C6DE0">
                    <w:rPr>
                      <w:rFonts w:ascii="Arial" w:hAnsi="Arial" w:cs="Arial"/>
                      <w:sz w:val="22"/>
                      <w:szCs w:val="22"/>
                    </w:rPr>
                    <w:t xml:space="preserve"> derives from the host species </w:t>
                  </w:r>
                  <w:r w:rsidR="003C6DE0" w:rsidRPr="002511E0">
                    <w:rPr>
                      <w:rFonts w:ascii="Arial" w:hAnsi="Arial" w:cs="Arial"/>
                      <w:i/>
                      <w:sz w:val="22"/>
                      <w:szCs w:val="22"/>
                    </w:rPr>
                    <w:t>Gompholobium preissii</w:t>
                  </w:r>
                  <w:r w:rsidR="003C6DE0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</w:p>
              </w:tc>
            </w:tr>
            <w:tr w:rsidR="003C6DE0" w14:paraId="25775FEC" w14:textId="77777777">
              <w:tc>
                <w:tcPr>
                  <w:tcW w:w="9002" w:type="dxa"/>
                  <w:shd w:val="clear" w:color="auto" w:fill="auto"/>
                </w:tcPr>
                <w:p w14:paraId="55C94560" w14:textId="77777777" w:rsidR="003C6DE0" w:rsidRPr="00A4273D" w:rsidRDefault="003C6DE0" w:rsidP="000A334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FA7B7B9" w14:textId="77777777" w:rsidR="003C6DE0" w:rsidRDefault="003C6DE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97DD973" w14:textId="77777777" w:rsidR="003C6DE0" w:rsidRDefault="003C6DE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C0BD0C4" w14:textId="77777777" w:rsidR="003C6DE0" w:rsidRDefault="003C6DE0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2C54CDB0" w14:textId="7695472E" w:rsidR="003C6DE0" w:rsidRDefault="003C6DE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4C63B4A6" w14:textId="57D8A1C0" w:rsidR="003C6DE0" w:rsidRPr="002511E0" w:rsidRDefault="00B80DB7" w:rsidP="000A334C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noProof/>
          <w:szCs w:val="22"/>
          <w:lang w:val="it-IT" w:eastAsia="it-IT"/>
        </w:rPr>
        <w:drawing>
          <wp:anchor distT="0" distB="0" distL="114300" distR="114300" simplePos="0" relativeHeight="251660288" behindDoc="0" locked="0" layoutInCell="1" allowOverlap="1" wp14:anchorId="44EF1C1D" wp14:editId="2CC22E46">
            <wp:simplePos x="0" y="0"/>
            <wp:positionH relativeFrom="margin">
              <wp:align>center</wp:align>
            </wp:positionH>
            <wp:positionV relativeFrom="margin">
              <wp:posOffset>406400</wp:posOffset>
            </wp:positionV>
            <wp:extent cx="5295900" cy="5975350"/>
            <wp:effectExtent l="0" t="0" r="0" b="6350"/>
            <wp:wrapSquare wrapText="bothSides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97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5722D62" w14:textId="77777777" w:rsidR="003C6DE0" w:rsidRDefault="003C6DE0">
      <w:pPr>
        <w:rPr>
          <w:rFonts w:ascii="Arial" w:hAnsi="Arial" w:cs="Arial"/>
          <w:b/>
          <w:sz w:val="22"/>
          <w:szCs w:val="22"/>
        </w:rPr>
      </w:pPr>
    </w:p>
    <w:p w14:paraId="002272F6" w14:textId="5441CC28" w:rsidR="003C6DE0" w:rsidRPr="003337B1" w:rsidRDefault="009B6685">
      <w:pPr>
        <w:spacing w:before="120"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</w:t>
      </w:r>
      <w:r w:rsidR="003C6DE0" w:rsidRPr="002A1ECB">
        <w:rPr>
          <w:rFonts w:ascii="Arial" w:hAnsi="Arial" w:cs="Arial"/>
          <w:sz w:val="22"/>
        </w:rPr>
        <w:t xml:space="preserve">igure 1.  Phylogenetic analysis of the RdRps of tombusvirids with one new member and new genus </w:t>
      </w:r>
      <w:r w:rsidR="003C6DE0" w:rsidRPr="002A1ECB">
        <w:rPr>
          <w:rFonts w:ascii="Arial" w:hAnsi="Arial" w:cs="Arial"/>
          <w:i/>
          <w:sz w:val="22"/>
        </w:rPr>
        <w:t>Tralespevirus</w:t>
      </w:r>
      <w:r w:rsidR="003C6DE0" w:rsidRPr="002A1ECB">
        <w:rPr>
          <w:rFonts w:ascii="Arial" w:hAnsi="Arial" w:cs="Arial"/>
          <w:sz w:val="22"/>
        </w:rPr>
        <w:t xml:space="preserve">. The alignment was made using MUSCLE while </w:t>
      </w:r>
      <w:r w:rsidR="006207F3">
        <w:rPr>
          <w:rFonts w:ascii="Arial" w:hAnsi="Arial" w:cs="Arial"/>
          <w:sz w:val="22"/>
        </w:rPr>
        <w:t xml:space="preserve">the </w:t>
      </w:r>
      <w:r w:rsidR="003C6DE0" w:rsidRPr="002A1ECB">
        <w:rPr>
          <w:rFonts w:ascii="Arial" w:hAnsi="Arial" w:cs="Arial"/>
          <w:sz w:val="22"/>
        </w:rPr>
        <w:t>tree w</w:t>
      </w:r>
      <w:r w:rsidR="006207F3">
        <w:rPr>
          <w:rFonts w:ascii="Arial" w:hAnsi="Arial" w:cs="Arial"/>
          <w:sz w:val="22"/>
        </w:rPr>
        <w:t>as</w:t>
      </w:r>
      <w:r w:rsidR="003C6DE0" w:rsidRPr="002A1ECB">
        <w:rPr>
          <w:rFonts w:ascii="Arial" w:hAnsi="Arial" w:cs="Arial"/>
          <w:sz w:val="22"/>
        </w:rPr>
        <w:t xml:space="preserve"> generated with the Maximum Likelihood (ML) algorithm in MEGA7 </w:t>
      </w:r>
      <w:r w:rsidR="001749B8" w:rsidRPr="002A1ECB">
        <w:rPr>
          <w:rFonts w:ascii="Arial" w:hAnsi="Arial" w:cs="Arial"/>
          <w:sz w:val="22"/>
        </w:rPr>
        <w:t>[4]</w:t>
      </w:r>
      <w:r w:rsidR="003C6DE0" w:rsidRPr="002A1ECB">
        <w:rPr>
          <w:rFonts w:ascii="Arial" w:hAnsi="Arial" w:cs="Arial"/>
          <w:sz w:val="22"/>
        </w:rPr>
        <w:t xml:space="preserve"> using 1000 bootstrap replicates (showing values &gt;50%). All positions with less than 50% site coverage were eliminated. That is, fewer than 50% alignment gaps, missing data, and ambiguous bases were allowed at any position. There were 797 positions in the final dataset.</w:t>
      </w:r>
      <w:r w:rsidR="005F287E">
        <w:rPr>
          <w:rFonts w:ascii="Arial" w:hAnsi="Arial" w:cs="Arial"/>
          <w:sz w:val="22"/>
        </w:rPr>
        <w:t xml:space="preserve"> </w:t>
      </w:r>
      <w:r w:rsidR="00FC1AA7">
        <w:rPr>
          <w:rFonts w:ascii="Arial" w:hAnsi="Arial" w:cs="Arial"/>
          <w:sz w:val="22"/>
        </w:rPr>
        <w:t>See Table 1 for virus abbreviations and GenBank IDs.</w:t>
      </w:r>
      <w:r w:rsidR="00A1178F">
        <w:rPr>
          <w:rFonts w:ascii="Arial" w:hAnsi="Arial" w:cs="Arial"/>
          <w:sz w:val="22"/>
        </w:rPr>
        <w:t xml:space="preserve"> </w:t>
      </w:r>
      <w:r w:rsidR="003C6DE0" w:rsidRPr="002A1ECB">
        <w:rPr>
          <w:rFonts w:ascii="Arial" w:hAnsi="Arial" w:cs="Arial"/>
          <w:sz w:val="22"/>
        </w:rPr>
        <w:t>Hepatitis C virus (HCV) RdRp (</w:t>
      </w:r>
      <w:r w:rsidR="008565CA">
        <w:rPr>
          <w:rFonts w:ascii="Arial" w:hAnsi="Arial" w:cs="Arial"/>
          <w:sz w:val="22"/>
        </w:rPr>
        <w:t xml:space="preserve">protein </w:t>
      </w:r>
      <w:r w:rsidR="008565CA" w:rsidRPr="008565CA">
        <w:rPr>
          <w:rFonts w:ascii="Arial" w:hAnsi="Arial" w:cs="Arial"/>
          <w:sz w:val="22"/>
        </w:rPr>
        <w:t>AF011751</w:t>
      </w:r>
      <w:r w:rsidR="003C6DE0" w:rsidRPr="002A1ECB">
        <w:rPr>
          <w:rFonts w:ascii="Arial" w:hAnsi="Arial" w:cs="Arial"/>
          <w:sz w:val="22"/>
        </w:rPr>
        <w:t>) was used as the outgroup. Bracket marks uncollapsed genus. Monotypic genera names are in colored boxes.  Sequence sources and virus names are in Table 1.</w:t>
      </w:r>
    </w:p>
    <w:p w14:paraId="6F64FAE6" w14:textId="77777777" w:rsidR="003C6DE0" w:rsidRDefault="003C6DE0">
      <w:pPr>
        <w:rPr>
          <w:rFonts w:ascii="Arial" w:hAnsi="Arial" w:cs="Arial"/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1588"/>
        <w:gridCol w:w="4150"/>
        <w:gridCol w:w="306"/>
        <w:gridCol w:w="616"/>
        <w:gridCol w:w="1340"/>
      </w:tblGrid>
      <w:tr w:rsidR="003C6DE0" w:rsidRPr="006E776F" w14:paraId="0C2C546C" w14:textId="77777777" w:rsidTr="002A1ECB">
        <w:trPr>
          <w:trHeight w:val="222"/>
        </w:trPr>
        <w:tc>
          <w:tcPr>
            <w:tcW w:w="8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A30BC" w14:textId="77777777" w:rsidR="003C6DE0" w:rsidRPr="003C6DE0" w:rsidRDefault="003C6DE0" w:rsidP="000A33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DE0">
              <w:rPr>
                <w:rFonts w:ascii="Arial" w:hAnsi="Arial" w:cs="Arial"/>
                <w:b/>
                <w:sz w:val="20"/>
                <w:szCs w:val="20"/>
              </w:rPr>
              <w:t>Table 1: Abbreviations used in Figure 1</w:t>
            </w:r>
          </w:p>
        </w:tc>
      </w:tr>
      <w:tr w:rsidR="003C6DE0" w:rsidRPr="006E776F" w14:paraId="6B4E4239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F6896" w14:textId="77777777" w:rsidR="003C6DE0" w:rsidRPr="003C6DE0" w:rsidRDefault="003C6DE0" w:rsidP="000A33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C028F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AE70B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b/>
                <w:sz w:val="20"/>
                <w:szCs w:val="20"/>
              </w:rPr>
            </w:pPr>
            <w:r w:rsidRPr="003C6DE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535BC7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3C6DE0">
              <w:rPr>
                <w:rFonts w:ascii="Arial" w:hAnsi="Arial" w:cs="Arial"/>
                <w:b/>
                <w:sz w:val="20"/>
                <w:szCs w:val="20"/>
              </w:rPr>
              <w:t xml:space="preserve">    GenBank</w:t>
            </w:r>
          </w:p>
        </w:tc>
      </w:tr>
      <w:tr w:rsidR="003C6DE0" w:rsidRPr="006E776F" w14:paraId="158DA76B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F6B82" w14:textId="77777777" w:rsidR="003C6DE0" w:rsidRPr="003C6DE0" w:rsidRDefault="003C6DE0" w:rsidP="000A33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DE0">
              <w:rPr>
                <w:rFonts w:ascii="Arial" w:hAnsi="Arial" w:cs="Arial"/>
                <w:b/>
                <w:sz w:val="20"/>
                <w:szCs w:val="20"/>
              </w:rPr>
              <w:t>Abbr.</w:t>
            </w:r>
          </w:p>
        </w:tc>
        <w:tc>
          <w:tcPr>
            <w:tcW w:w="4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C3C28" w14:textId="77777777" w:rsidR="003C6DE0" w:rsidRPr="003C6DE0" w:rsidRDefault="003C6DE0" w:rsidP="003C6DE0">
            <w:pPr>
              <w:ind w:left="3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DE0">
              <w:rPr>
                <w:rFonts w:ascii="Arial" w:hAnsi="Arial" w:cs="Arial"/>
                <w:b/>
                <w:sz w:val="20"/>
                <w:szCs w:val="20"/>
              </w:rPr>
              <w:t xml:space="preserve">Species 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CB3E1" w14:textId="77777777" w:rsidR="003C6DE0" w:rsidRPr="003C6DE0" w:rsidRDefault="003C6DE0" w:rsidP="003C6DE0">
            <w:pPr>
              <w:ind w:left="3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DE0">
              <w:rPr>
                <w:rFonts w:ascii="Arial" w:hAnsi="Arial" w:cs="Arial"/>
                <w:b/>
                <w:sz w:val="20"/>
                <w:szCs w:val="20"/>
              </w:rPr>
              <w:t>Genome ID</w:t>
            </w:r>
          </w:p>
        </w:tc>
      </w:tr>
      <w:tr w:rsidR="003C6DE0" w:rsidRPr="006E776F" w14:paraId="0E3ADE76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C5DD4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TLV1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8836D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Trailing lespedeza virus 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6DEB7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HM640935</w:t>
            </w:r>
          </w:p>
        </w:tc>
      </w:tr>
      <w:tr w:rsidR="003C6DE0" w:rsidRPr="006E776F" w14:paraId="0C889862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50F64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GomVA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C1D7C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Gompholobium virus 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3F3B0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KX184304</w:t>
            </w:r>
          </w:p>
        </w:tc>
      </w:tr>
      <w:tr w:rsidR="003C6DE0" w:rsidRPr="006E776F" w14:paraId="13DE8366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A9B39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MCMV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1DFAE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Maize chlorotic mottle virus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EE75C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X14736</w:t>
            </w:r>
          </w:p>
        </w:tc>
      </w:tr>
      <w:tr w:rsidR="003C6DE0" w:rsidRPr="006E776F" w14:paraId="55096BE4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3A4C3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GaMV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4BC55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Galinsoga mosaic virus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9ED83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Y13463</w:t>
            </w:r>
          </w:p>
        </w:tc>
      </w:tr>
      <w:tr w:rsidR="003C6DE0" w:rsidRPr="006E776F" w14:paraId="7AB79BDF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CF799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FNSV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38665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Furcraea necrotic streak virus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7940E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FJ768020</w:t>
            </w:r>
          </w:p>
        </w:tc>
      </w:tr>
      <w:tr w:rsidR="003C6DE0" w:rsidRPr="006E776F" w14:paraId="2CAE295C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3C275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OCSV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7EA6D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Oat chlorotic stunt virus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95568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X83964</w:t>
            </w:r>
          </w:p>
        </w:tc>
      </w:tr>
      <w:tr w:rsidR="003C6DE0" w:rsidRPr="006E776F" w14:paraId="1673C25F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57934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MNeSV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78982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Maize necrotic streak virus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3189C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AF266518</w:t>
            </w:r>
          </w:p>
        </w:tc>
      </w:tr>
      <w:tr w:rsidR="003C6DE0" w:rsidRPr="006E776F" w14:paraId="52C7C9DF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F4805A" w14:textId="2604DFD5" w:rsidR="003C6DE0" w:rsidRPr="003C6DE0" w:rsidRDefault="004F3FDD" w:rsidP="000A33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CB</w:t>
            </w:r>
            <w:r w:rsidR="003C6DE0" w:rsidRPr="003C6DE0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CE9FA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Cucumber Bulgarian latent virus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905FE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AY163842</w:t>
            </w:r>
          </w:p>
        </w:tc>
      </w:tr>
      <w:tr w:rsidR="00FC1AA7" w:rsidRPr="006E776F" w14:paraId="55927811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85FBB" w14:textId="77777777" w:rsidR="00FC1AA7" w:rsidRPr="003C6DE0" w:rsidRDefault="00FC1AA7" w:rsidP="000A33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D5C1A" w14:textId="77777777" w:rsidR="00FC1AA7" w:rsidRPr="003C6DE0" w:rsidRDefault="00FC1AA7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3431D" w14:textId="77777777" w:rsidR="00FC1AA7" w:rsidRPr="00D7313A" w:rsidRDefault="00FC1AA7" w:rsidP="000A3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13A">
              <w:rPr>
                <w:rFonts w:ascii="Arial" w:hAnsi="Arial" w:cs="Arial"/>
                <w:b/>
                <w:sz w:val="20"/>
                <w:szCs w:val="20"/>
              </w:rPr>
              <w:t>RdRp ID</w:t>
            </w:r>
          </w:p>
        </w:tc>
      </w:tr>
      <w:tr w:rsidR="003C6DE0" w:rsidRPr="006E776F" w14:paraId="531F7F93" w14:textId="77777777" w:rsidTr="002A1ECB">
        <w:trPr>
          <w:trHeight w:val="222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4F76B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HCV</w:t>
            </w:r>
          </w:p>
        </w:tc>
        <w:tc>
          <w:tcPr>
            <w:tcW w:w="5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64BC82" w14:textId="77777777" w:rsidR="003C6DE0" w:rsidRPr="003C6DE0" w:rsidRDefault="003C6DE0" w:rsidP="003C6DE0">
            <w:pPr>
              <w:ind w:left="380"/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Hepatitis C virus H77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08BC9" w14:textId="77777777" w:rsidR="003C6DE0" w:rsidRPr="003C6DE0" w:rsidRDefault="003C6DE0" w:rsidP="000A334C">
            <w:pPr>
              <w:rPr>
                <w:rFonts w:ascii="Arial" w:hAnsi="Arial" w:cs="Arial"/>
                <w:sz w:val="20"/>
                <w:szCs w:val="20"/>
              </w:rPr>
            </w:pPr>
            <w:r w:rsidRPr="003C6DE0">
              <w:rPr>
                <w:rFonts w:ascii="Arial" w:hAnsi="Arial" w:cs="Arial"/>
                <w:sz w:val="20"/>
                <w:szCs w:val="20"/>
              </w:rPr>
              <w:t>AF011751</w:t>
            </w:r>
          </w:p>
        </w:tc>
      </w:tr>
    </w:tbl>
    <w:p w14:paraId="7A6E1745" w14:textId="77777777" w:rsidR="0060366E" w:rsidRDefault="0060366E" w:rsidP="002A1ECB">
      <w:pPr>
        <w:rPr>
          <w:rFonts w:ascii="Arial" w:hAnsi="Arial" w:cs="Arial"/>
          <w:b/>
        </w:rPr>
      </w:pPr>
    </w:p>
    <w:p w14:paraId="6C7FAF58" w14:textId="77777777" w:rsidR="0060366E" w:rsidRDefault="0060366E" w:rsidP="002A1ECB">
      <w:pPr>
        <w:rPr>
          <w:rFonts w:ascii="Arial" w:hAnsi="Arial" w:cs="Arial"/>
          <w:b/>
        </w:rPr>
      </w:pPr>
    </w:p>
    <w:p w14:paraId="7976B7C7" w14:textId="77777777" w:rsidR="003C6DE0" w:rsidRDefault="003C6DE0" w:rsidP="002A1E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A755463" w14:textId="77777777" w:rsidR="00ED2DB6" w:rsidRDefault="00ED2DB6" w:rsidP="004B3D8B">
      <w:pPr>
        <w:rPr>
          <w:rFonts w:ascii="Arial" w:hAnsi="Arial" w:cs="Arial"/>
          <w:b/>
        </w:rPr>
      </w:pPr>
    </w:p>
    <w:p w14:paraId="623346FC" w14:textId="1BC16EAF" w:rsidR="003C6DE0" w:rsidRPr="00430146" w:rsidRDefault="00ED2DB6" w:rsidP="004B3D8B">
      <w:pPr>
        <w:pStyle w:val="Default"/>
        <w:ind w:left="540" w:hanging="540"/>
        <w:rPr>
          <w:rFonts w:ascii="Arial" w:hAnsi="Arial"/>
          <w:sz w:val="22"/>
          <w:szCs w:val="22"/>
          <w:lang w:val="en-US"/>
        </w:rPr>
      </w:pPr>
      <w:r w:rsidRPr="00430146">
        <w:rPr>
          <w:rFonts w:ascii="Arial" w:hAnsi="Arial"/>
          <w:sz w:val="22"/>
          <w:szCs w:val="22"/>
          <w:lang w:val="en-US"/>
        </w:rPr>
        <w:t>1</w:t>
      </w:r>
      <w:r w:rsidRPr="00430146">
        <w:rPr>
          <w:rFonts w:ascii="Arial" w:hAnsi="Arial"/>
          <w:sz w:val="22"/>
          <w:szCs w:val="22"/>
          <w:lang w:val="en-US"/>
        </w:rPr>
        <w:tab/>
      </w:r>
      <w:r w:rsidR="00F55601" w:rsidRPr="00430146">
        <w:rPr>
          <w:rFonts w:ascii="Arial" w:hAnsi="Arial"/>
          <w:sz w:val="22"/>
          <w:szCs w:val="22"/>
          <w:lang w:val="en-US"/>
        </w:rPr>
        <w:t xml:space="preserve">Scheets K, Blinkova O, Melcher U, Palmer MW, Wiley GB, Ding T, Roe BA (2011) Detection of members of the </w:t>
      </w:r>
      <w:r w:rsidR="00F55601" w:rsidRPr="00430146">
        <w:rPr>
          <w:rFonts w:ascii="Arial" w:hAnsi="Arial"/>
          <w:i/>
          <w:iCs/>
          <w:sz w:val="22"/>
          <w:szCs w:val="22"/>
          <w:lang w:val="en-US"/>
        </w:rPr>
        <w:t xml:space="preserve">Tombusviridae </w:t>
      </w:r>
      <w:r w:rsidR="00F55601" w:rsidRPr="00430146">
        <w:rPr>
          <w:rFonts w:ascii="Arial" w:hAnsi="Arial"/>
          <w:sz w:val="22"/>
          <w:szCs w:val="22"/>
          <w:lang w:val="en-US"/>
        </w:rPr>
        <w:t xml:space="preserve">in the Tallgrass Prairie Preserve, Osage County, Oklahoma, USA. </w:t>
      </w:r>
      <w:r w:rsidR="00F55601" w:rsidRPr="00430146">
        <w:rPr>
          <w:rFonts w:ascii="Arial" w:hAnsi="Arial"/>
          <w:iCs/>
          <w:sz w:val="22"/>
          <w:szCs w:val="22"/>
          <w:lang w:val="en-US"/>
        </w:rPr>
        <w:t xml:space="preserve">Virus Res </w:t>
      </w:r>
      <w:r w:rsidR="00F55601" w:rsidRPr="00430146">
        <w:rPr>
          <w:rFonts w:ascii="Arial" w:hAnsi="Arial"/>
          <w:bCs/>
          <w:sz w:val="22"/>
          <w:szCs w:val="22"/>
          <w:lang w:val="en-US"/>
        </w:rPr>
        <w:t>160</w:t>
      </w:r>
      <w:r w:rsidR="00F55601" w:rsidRPr="00430146">
        <w:rPr>
          <w:rFonts w:ascii="Arial" w:hAnsi="Arial"/>
          <w:sz w:val="22"/>
          <w:szCs w:val="22"/>
          <w:lang w:val="en-US"/>
        </w:rPr>
        <w:t>: 256-263.  DOI 10.1016/j.virusres.2011.06.023</w:t>
      </w:r>
      <w:r w:rsidR="00DB171B">
        <w:rPr>
          <w:rFonts w:ascii="Arial" w:hAnsi="Arial"/>
          <w:sz w:val="22"/>
          <w:szCs w:val="22"/>
          <w:lang w:val="en-US"/>
        </w:rPr>
        <w:t>. PMID: 21762736</w:t>
      </w:r>
    </w:p>
    <w:p w14:paraId="64371666" w14:textId="77777777" w:rsidR="00F55601" w:rsidRPr="00430146" w:rsidRDefault="00F55601" w:rsidP="004B3D8B">
      <w:pPr>
        <w:pStyle w:val="Default"/>
        <w:ind w:left="540" w:hanging="540"/>
        <w:rPr>
          <w:sz w:val="23"/>
          <w:szCs w:val="23"/>
          <w:lang w:val="en-US"/>
        </w:rPr>
      </w:pPr>
    </w:p>
    <w:p w14:paraId="306333A1" w14:textId="1156C9BD" w:rsidR="003C6DE0" w:rsidRPr="00430146" w:rsidRDefault="00ED2DB6" w:rsidP="004B3D8B">
      <w:pPr>
        <w:pStyle w:val="Default"/>
        <w:ind w:left="540" w:hanging="540"/>
        <w:rPr>
          <w:rFonts w:ascii="Arial" w:hAnsi="Arial"/>
          <w:sz w:val="22"/>
          <w:szCs w:val="22"/>
          <w:lang w:val="en-US"/>
        </w:rPr>
      </w:pPr>
      <w:r w:rsidRPr="00430146">
        <w:rPr>
          <w:rFonts w:ascii="Arial" w:hAnsi="Arial"/>
          <w:sz w:val="22"/>
          <w:szCs w:val="22"/>
          <w:lang w:val="en-US"/>
        </w:rPr>
        <w:t>2</w:t>
      </w:r>
      <w:r w:rsidRPr="00430146">
        <w:rPr>
          <w:rFonts w:ascii="Arial" w:hAnsi="Arial"/>
          <w:sz w:val="22"/>
          <w:szCs w:val="22"/>
          <w:lang w:val="en-US"/>
        </w:rPr>
        <w:tab/>
      </w:r>
      <w:r w:rsidR="003C6DE0" w:rsidRPr="00430146">
        <w:rPr>
          <w:rFonts w:ascii="Arial" w:hAnsi="Arial"/>
          <w:sz w:val="22"/>
          <w:szCs w:val="22"/>
          <w:lang w:val="en-US"/>
        </w:rPr>
        <w:t xml:space="preserve">Koh SH, Ong JWL, Admiraal R, Sivasithamparam K, Jones MGK, Wylie SJ (2016) A novel member of the </w:t>
      </w:r>
      <w:r w:rsidR="003C6DE0" w:rsidRPr="00430146">
        <w:rPr>
          <w:rFonts w:ascii="Arial" w:hAnsi="Arial"/>
          <w:i/>
          <w:sz w:val="22"/>
          <w:szCs w:val="22"/>
          <w:lang w:val="en-US"/>
        </w:rPr>
        <w:t>Tombusviridae</w:t>
      </w:r>
      <w:r w:rsidR="003C6DE0" w:rsidRPr="00430146">
        <w:rPr>
          <w:rFonts w:ascii="Arial" w:hAnsi="Arial"/>
          <w:sz w:val="22"/>
          <w:szCs w:val="22"/>
          <w:lang w:val="en-US"/>
        </w:rPr>
        <w:t xml:space="preserve"> from a wild legume, </w:t>
      </w:r>
      <w:r w:rsidR="003C6DE0" w:rsidRPr="00430146">
        <w:rPr>
          <w:rFonts w:ascii="Arial" w:hAnsi="Arial"/>
          <w:i/>
          <w:sz w:val="22"/>
          <w:szCs w:val="22"/>
          <w:lang w:val="en-US"/>
        </w:rPr>
        <w:t>Gompholobium preissii</w:t>
      </w:r>
      <w:r w:rsidR="003C6DE0" w:rsidRPr="00430146">
        <w:rPr>
          <w:rFonts w:ascii="Arial" w:hAnsi="Arial"/>
          <w:sz w:val="22"/>
          <w:szCs w:val="22"/>
          <w:lang w:val="en-US"/>
        </w:rPr>
        <w:t>. Arch Virol 161: 2893-2898.</w:t>
      </w:r>
      <w:r w:rsidR="00147A81" w:rsidRPr="00430146">
        <w:rPr>
          <w:rFonts w:ascii="Arial" w:hAnsi="Arial"/>
          <w:sz w:val="22"/>
          <w:szCs w:val="22"/>
          <w:lang w:val="en-US"/>
        </w:rPr>
        <w:t xml:space="preserve"> </w:t>
      </w:r>
      <w:r w:rsidR="00F55601" w:rsidRPr="00430146">
        <w:rPr>
          <w:rFonts w:ascii="Arial" w:hAnsi="Arial"/>
          <w:sz w:val="22"/>
          <w:szCs w:val="22"/>
          <w:lang w:val="en-US"/>
        </w:rPr>
        <w:t xml:space="preserve"> </w:t>
      </w:r>
      <w:r w:rsidR="00147A81" w:rsidRPr="00430146">
        <w:rPr>
          <w:rFonts w:ascii="Arial" w:hAnsi="Arial"/>
          <w:sz w:val="22"/>
          <w:szCs w:val="22"/>
          <w:lang w:val="en-US"/>
        </w:rPr>
        <w:t>DOI</w:t>
      </w:r>
      <w:r w:rsidR="003C6DE0" w:rsidRPr="00430146">
        <w:rPr>
          <w:rFonts w:ascii="Arial" w:hAnsi="Arial"/>
          <w:sz w:val="22"/>
          <w:szCs w:val="22"/>
          <w:lang w:val="en-US"/>
        </w:rPr>
        <w:t xml:space="preserve"> </w:t>
      </w:r>
      <w:r w:rsidR="00147A81" w:rsidRPr="00430146">
        <w:rPr>
          <w:rFonts w:ascii="Arial" w:hAnsi="Arial"/>
          <w:sz w:val="22"/>
          <w:szCs w:val="22"/>
          <w:lang w:val="en-US"/>
        </w:rPr>
        <w:t>10.1007/s00705-016-2992-7</w:t>
      </w:r>
      <w:r w:rsidR="00DB171B">
        <w:rPr>
          <w:rFonts w:ascii="Arial" w:hAnsi="Arial"/>
          <w:sz w:val="22"/>
          <w:szCs w:val="22"/>
          <w:lang w:val="en-US"/>
        </w:rPr>
        <w:t>. PMID: 274</w:t>
      </w:r>
      <w:r w:rsidR="002A22EC">
        <w:rPr>
          <w:rFonts w:ascii="Arial" w:hAnsi="Arial"/>
          <w:sz w:val="22"/>
          <w:szCs w:val="22"/>
          <w:lang w:val="en-US"/>
        </w:rPr>
        <w:t>56427</w:t>
      </w:r>
    </w:p>
    <w:p w14:paraId="68C06288" w14:textId="77777777" w:rsidR="00F55601" w:rsidRPr="00430146" w:rsidRDefault="00F55601" w:rsidP="004B3D8B">
      <w:pPr>
        <w:pStyle w:val="Default"/>
        <w:ind w:left="540" w:hanging="540"/>
        <w:rPr>
          <w:rFonts w:ascii="Arial" w:hAnsi="Arial" w:cs="Arial"/>
          <w:sz w:val="22"/>
          <w:szCs w:val="22"/>
          <w:lang w:val="en-US"/>
        </w:rPr>
      </w:pPr>
    </w:p>
    <w:p w14:paraId="3790DA57" w14:textId="77777777" w:rsidR="003C6DE0" w:rsidRPr="00430146" w:rsidRDefault="00ED2DB6" w:rsidP="004B3D8B">
      <w:pPr>
        <w:pStyle w:val="Default"/>
        <w:ind w:left="540" w:hanging="540"/>
        <w:rPr>
          <w:rFonts w:ascii="Arial" w:hAnsi="Arial" w:cs="Arial"/>
          <w:sz w:val="22"/>
          <w:szCs w:val="22"/>
          <w:lang w:val="en-US"/>
        </w:rPr>
      </w:pPr>
      <w:r w:rsidRPr="00430146">
        <w:rPr>
          <w:rFonts w:ascii="Arial" w:hAnsi="Arial" w:cs="Arial"/>
          <w:sz w:val="22"/>
          <w:szCs w:val="22"/>
          <w:lang w:val="en-US"/>
        </w:rPr>
        <w:t>3</w:t>
      </w:r>
      <w:r w:rsidRPr="00430146">
        <w:rPr>
          <w:rFonts w:ascii="Arial" w:hAnsi="Arial" w:cs="Arial"/>
          <w:sz w:val="22"/>
          <w:szCs w:val="22"/>
          <w:lang w:val="en-US"/>
        </w:rPr>
        <w:tab/>
      </w:r>
      <w:r w:rsidR="003C6DE0" w:rsidRPr="00430146">
        <w:rPr>
          <w:rFonts w:ascii="Arial" w:hAnsi="Arial" w:cs="Arial"/>
          <w:sz w:val="22"/>
          <w:szCs w:val="22"/>
          <w:lang w:val="en-US"/>
        </w:rPr>
        <w:t>Scheets K</w:t>
      </w:r>
      <w:r w:rsidR="00C807F9" w:rsidRPr="00430146">
        <w:rPr>
          <w:rFonts w:ascii="Arial" w:hAnsi="Arial" w:cs="Arial"/>
          <w:sz w:val="22"/>
          <w:szCs w:val="22"/>
          <w:lang w:val="en-US"/>
        </w:rPr>
        <w:t>,</w:t>
      </w:r>
      <w:r w:rsidR="003C6DE0" w:rsidRPr="00430146">
        <w:rPr>
          <w:rFonts w:ascii="Arial" w:hAnsi="Arial" w:cs="Arial"/>
          <w:sz w:val="22"/>
          <w:szCs w:val="22"/>
          <w:lang w:val="en-US"/>
        </w:rPr>
        <w:t xml:space="preserve"> Melcher U (2014) ICTV taxonomic proposal 2014.008aP.A.v3.Tombusviridae_sp. Create 1 new species </w:t>
      </w:r>
      <w:r w:rsidR="003C6DE0" w:rsidRPr="00430146">
        <w:rPr>
          <w:rFonts w:ascii="Arial" w:hAnsi="Arial" w:cs="Arial"/>
          <w:i/>
          <w:iCs/>
          <w:sz w:val="22"/>
          <w:szCs w:val="22"/>
          <w:lang w:val="en-US"/>
        </w:rPr>
        <w:t xml:space="preserve">Trailing lespedeza virus 1 </w:t>
      </w:r>
      <w:r w:rsidR="003C6DE0" w:rsidRPr="00430146">
        <w:rPr>
          <w:rFonts w:ascii="Arial" w:hAnsi="Arial" w:cs="Arial"/>
          <w:sz w:val="22"/>
          <w:szCs w:val="22"/>
          <w:lang w:val="en-US"/>
        </w:rPr>
        <w:t xml:space="preserve">unassigned in the family </w:t>
      </w:r>
      <w:r w:rsidR="003C6DE0" w:rsidRPr="00430146">
        <w:rPr>
          <w:rFonts w:ascii="Arial" w:hAnsi="Arial" w:cs="Arial"/>
          <w:i/>
          <w:iCs/>
          <w:sz w:val="22"/>
          <w:szCs w:val="22"/>
          <w:lang w:val="en-US"/>
        </w:rPr>
        <w:t>Tombusviridae</w:t>
      </w:r>
      <w:r w:rsidR="003C6DE0" w:rsidRPr="00430146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4B151AC4" w14:textId="2CEE7B67" w:rsidR="003C6DE0" w:rsidRPr="00430146" w:rsidRDefault="002E1905" w:rsidP="001762BF">
      <w:pPr>
        <w:pStyle w:val="Default"/>
        <w:ind w:left="540"/>
        <w:rPr>
          <w:rFonts w:ascii="Arial" w:eastAsia="Calibri" w:hAnsi="Arial" w:cs="Arial"/>
          <w:color w:val="auto"/>
          <w:sz w:val="22"/>
          <w:szCs w:val="22"/>
          <w:lang w:val="en-US"/>
        </w:rPr>
      </w:pPr>
      <w:hyperlink r:id="rId9" w:history="1">
        <w:r w:rsidR="00561C83" w:rsidRPr="00430146">
          <w:rPr>
            <w:rStyle w:val="Hyperlink"/>
            <w:rFonts w:ascii="Arial" w:eastAsia="Calibri" w:hAnsi="Arial" w:cs="Arial"/>
            <w:sz w:val="22"/>
            <w:szCs w:val="22"/>
            <w:lang w:val="en-US"/>
          </w:rPr>
          <w:t>https://talk.ictvonline.org/ICTV/proposals/2014.008aP.A.v3.Tombusviridae_sp.pdf</w:t>
        </w:r>
      </w:hyperlink>
    </w:p>
    <w:p w14:paraId="03B09EE8" w14:textId="77777777" w:rsidR="00F55601" w:rsidRPr="00430146" w:rsidRDefault="00F55601" w:rsidP="004B3D8B">
      <w:pPr>
        <w:pStyle w:val="Default"/>
        <w:ind w:left="540" w:hanging="540"/>
        <w:rPr>
          <w:rFonts w:ascii="Arial" w:hAnsi="Arial"/>
          <w:sz w:val="22"/>
          <w:szCs w:val="22"/>
          <w:lang w:val="en-US"/>
        </w:rPr>
      </w:pPr>
    </w:p>
    <w:p w14:paraId="29CCEB9F" w14:textId="30A833C2" w:rsidR="00ED2DB6" w:rsidRDefault="00ED2DB6" w:rsidP="004B3D8B">
      <w:pPr>
        <w:pStyle w:val="Default"/>
        <w:ind w:left="540" w:hanging="540"/>
        <w:rPr>
          <w:rFonts w:ascii="Arial" w:hAnsi="Arial"/>
          <w:sz w:val="22"/>
          <w:szCs w:val="22"/>
        </w:rPr>
      </w:pPr>
      <w:r w:rsidRPr="00430146">
        <w:rPr>
          <w:rFonts w:ascii="Arial" w:hAnsi="Arial"/>
          <w:sz w:val="22"/>
          <w:szCs w:val="22"/>
          <w:lang w:val="en-US"/>
        </w:rPr>
        <w:t>4</w:t>
      </w:r>
      <w:r w:rsidRPr="00430146">
        <w:rPr>
          <w:rFonts w:ascii="Arial" w:hAnsi="Arial"/>
          <w:sz w:val="22"/>
          <w:szCs w:val="22"/>
          <w:lang w:val="en-US"/>
        </w:rPr>
        <w:tab/>
      </w:r>
      <w:r w:rsidR="00F55601" w:rsidRPr="00430146">
        <w:rPr>
          <w:rFonts w:ascii="Arial" w:hAnsi="Arial"/>
          <w:sz w:val="22"/>
          <w:szCs w:val="22"/>
          <w:lang w:val="en-US"/>
        </w:rPr>
        <w:t xml:space="preserve">Kumar S, Stecher G, Tamura K (2016) MEGA7: Molecular Evolutionary Genetics Analysis Version 7.0 for Bigger Datasets. </w:t>
      </w:r>
      <w:r w:rsidR="00F55601" w:rsidRPr="003C6DE0">
        <w:rPr>
          <w:rFonts w:ascii="Arial" w:hAnsi="Arial"/>
          <w:sz w:val="22"/>
          <w:szCs w:val="22"/>
        </w:rPr>
        <w:t>Mol Biol  Evol 33:1870-1874</w:t>
      </w:r>
      <w:r w:rsidR="00F55601">
        <w:rPr>
          <w:rFonts w:ascii="Arial" w:hAnsi="Arial"/>
          <w:sz w:val="22"/>
          <w:szCs w:val="22"/>
        </w:rPr>
        <w:t xml:space="preserve">.  </w:t>
      </w:r>
    </w:p>
    <w:p w14:paraId="3577F539" w14:textId="55BDDC18" w:rsidR="00F55601" w:rsidRDefault="00ED2DB6" w:rsidP="004B3D8B">
      <w:pPr>
        <w:pStyle w:val="Default"/>
        <w:ind w:left="540" w:hanging="5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F55601">
        <w:rPr>
          <w:rFonts w:ascii="Arial" w:hAnsi="Arial"/>
          <w:sz w:val="22"/>
          <w:szCs w:val="22"/>
        </w:rPr>
        <w:t>DOI</w:t>
      </w:r>
      <w:r w:rsidR="00F55601" w:rsidRPr="00C807F9">
        <w:t xml:space="preserve"> </w:t>
      </w:r>
      <w:r w:rsidR="00F55601" w:rsidRPr="00C807F9">
        <w:rPr>
          <w:rFonts w:ascii="Arial" w:hAnsi="Arial"/>
          <w:sz w:val="22"/>
          <w:szCs w:val="22"/>
        </w:rPr>
        <w:t>10.1093/molbev/msw054</w:t>
      </w:r>
      <w:r w:rsidR="002A22EC">
        <w:rPr>
          <w:rFonts w:ascii="Arial" w:hAnsi="Arial"/>
          <w:sz w:val="22"/>
          <w:szCs w:val="22"/>
        </w:rPr>
        <w:t>. PMID: 27004904</w:t>
      </w:r>
    </w:p>
    <w:p w14:paraId="560769F7" w14:textId="77777777" w:rsidR="00F55601" w:rsidRDefault="00F55601" w:rsidP="00F55601">
      <w:pPr>
        <w:pStyle w:val="Default"/>
        <w:rPr>
          <w:rFonts w:ascii="Arial" w:hAnsi="Arial"/>
          <w:sz w:val="22"/>
          <w:szCs w:val="22"/>
        </w:rPr>
      </w:pPr>
    </w:p>
    <w:p w14:paraId="757915E6" w14:textId="77777777" w:rsidR="00F55601" w:rsidRDefault="00F55601" w:rsidP="00F55601">
      <w:pPr>
        <w:pStyle w:val="Default"/>
        <w:rPr>
          <w:rFonts w:ascii="Arial" w:hAnsi="Arial"/>
          <w:sz w:val="22"/>
          <w:szCs w:val="22"/>
        </w:rPr>
      </w:pPr>
    </w:p>
    <w:p w14:paraId="414A0B58" w14:textId="77777777" w:rsidR="00F55601" w:rsidRPr="003C6DE0" w:rsidRDefault="00F55601" w:rsidP="003C6DE0">
      <w:pPr>
        <w:pStyle w:val="Default"/>
        <w:rPr>
          <w:rFonts w:ascii="Arial" w:eastAsia="Calibri" w:hAnsi="Arial" w:cs="Arial"/>
          <w:sz w:val="22"/>
          <w:szCs w:val="22"/>
        </w:rPr>
      </w:pPr>
    </w:p>
    <w:sectPr w:rsidR="00F55601" w:rsidRPr="003C6DE0" w:rsidSect="003C6DE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7221" w14:textId="77777777" w:rsidR="002E1905" w:rsidRDefault="002E1905">
      <w:r>
        <w:separator/>
      </w:r>
    </w:p>
  </w:endnote>
  <w:endnote w:type="continuationSeparator" w:id="0">
    <w:p w14:paraId="5DBA47A6" w14:textId="77777777" w:rsidR="002E1905" w:rsidRDefault="002E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9D49B" w14:textId="77777777" w:rsidR="002E1905" w:rsidRDefault="002E1905">
      <w:r>
        <w:separator/>
      </w:r>
    </w:p>
  </w:footnote>
  <w:footnote w:type="continuationSeparator" w:id="0">
    <w:p w14:paraId="50426C0C" w14:textId="77777777" w:rsidR="002E1905" w:rsidRDefault="002E1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FF68" w14:textId="77777777" w:rsidR="001D1EEA" w:rsidRDefault="001D1EEA">
    <w:pPr>
      <w:pStyle w:val="Header"/>
      <w:jc w:val="right"/>
    </w:pPr>
    <w:r>
      <w:t>October 2020</w:t>
    </w:r>
  </w:p>
  <w:p w14:paraId="03AC097C" w14:textId="77777777" w:rsidR="001D1EEA" w:rsidRDefault="001D1E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3D93DD9"/>
    <w:multiLevelType w:val="hybridMultilevel"/>
    <w:tmpl w:val="EE20D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oNotDisplayPageBoundaries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C6DE0"/>
    <w:rsid w:val="00013818"/>
    <w:rsid w:val="00017E26"/>
    <w:rsid w:val="00025B45"/>
    <w:rsid w:val="00062996"/>
    <w:rsid w:val="000A334C"/>
    <w:rsid w:val="000B015F"/>
    <w:rsid w:val="00147A81"/>
    <w:rsid w:val="00170E91"/>
    <w:rsid w:val="001749B8"/>
    <w:rsid w:val="001762BF"/>
    <w:rsid w:val="00192D54"/>
    <w:rsid w:val="001A172B"/>
    <w:rsid w:val="001D1EEA"/>
    <w:rsid w:val="001F5F71"/>
    <w:rsid w:val="00273979"/>
    <w:rsid w:val="0028491B"/>
    <w:rsid w:val="002A1ECB"/>
    <w:rsid w:val="002A22EC"/>
    <w:rsid w:val="002C784D"/>
    <w:rsid w:val="002E1905"/>
    <w:rsid w:val="002F5859"/>
    <w:rsid w:val="002F5C5D"/>
    <w:rsid w:val="003315C7"/>
    <w:rsid w:val="003337B1"/>
    <w:rsid w:val="00374AFD"/>
    <w:rsid w:val="0038652D"/>
    <w:rsid w:val="00387BB5"/>
    <w:rsid w:val="003C6DE0"/>
    <w:rsid w:val="003D2C31"/>
    <w:rsid w:val="004022D1"/>
    <w:rsid w:val="00430146"/>
    <w:rsid w:val="004B3D8B"/>
    <w:rsid w:val="004B7A51"/>
    <w:rsid w:val="004D586B"/>
    <w:rsid w:val="004F3FDD"/>
    <w:rsid w:val="00510B48"/>
    <w:rsid w:val="00531276"/>
    <w:rsid w:val="00535BC7"/>
    <w:rsid w:val="00561C83"/>
    <w:rsid w:val="005646F8"/>
    <w:rsid w:val="005B07CE"/>
    <w:rsid w:val="005C4274"/>
    <w:rsid w:val="005F287E"/>
    <w:rsid w:val="0060366E"/>
    <w:rsid w:val="006207F3"/>
    <w:rsid w:val="00684568"/>
    <w:rsid w:val="006F06DF"/>
    <w:rsid w:val="00706933"/>
    <w:rsid w:val="00707C91"/>
    <w:rsid w:val="00720221"/>
    <w:rsid w:val="0073229C"/>
    <w:rsid w:val="00736E66"/>
    <w:rsid w:val="00781515"/>
    <w:rsid w:val="007968D9"/>
    <w:rsid w:val="007B5D4F"/>
    <w:rsid w:val="007B6724"/>
    <w:rsid w:val="007E4BE6"/>
    <w:rsid w:val="00817F78"/>
    <w:rsid w:val="00826CB4"/>
    <w:rsid w:val="00843C54"/>
    <w:rsid w:val="008565CA"/>
    <w:rsid w:val="008C30B5"/>
    <w:rsid w:val="008D0E29"/>
    <w:rsid w:val="008E5B45"/>
    <w:rsid w:val="00931F51"/>
    <w:rsid w:val="00976583"/>
    <w:rsid w:val="00977A23"/>
    <w:rsid w:val="009B6685"/>
    <w:rsid w:val="009B6EF1"/>
    <w:rsid w:val="00A1178F"/>
    <w:rsid w:val="00A3012D"/>
    <w:rsid w:val="00A67BF5"/>
    <w:rsid w:val="00AB052B"/>
    <w:rsid w:val="00AB2124"/>
    <w:rsid w:val="00AE0C20"/>
    <w:rsid w:val="00AF5B73"/>
    <w:rsid w:val="00B414A3"/>
    <w:rsid w:val="00B62E51"/>
    <w:rsid w:val="00B80DB7"/>
    <w:rsid w:val="00B92C2F"/>
    <w:rsid w:val="00BB0DBA"/>
    <w:rsid w:val="00BD0C26"/>
    <w:rsid w:val="00BD326D"/>
    <w:rsid w:val="00BE77F5"/>
    <w:rsid w:val="00BF10A9"/>
    <w:rsid w:val="00C33FB8"/>
    <w:rsid w:val="00C807F9"/>
    <w:rsid w:val="00C96F89"/>
    <w:rsid w:val="00CB3723"/>
    <w:rsid w:val="00CB7EB4"/>
    <w:rsid w:val="00CE53AB"/>
    <w:rsid w:val="00D7313A"/>
    <w:rsid w:val="00DB171B"/>
    <w:rsid w:val="00ED2DB6"/>
    <w:rsid w:val="00EE42A4"/>
    <w:rsid w:val="00EF648D"/>
    <w:rsid w:val="00EF7651"/>
    <w:rsid w:val="00F55601"/>
    <w:rsid w:val="00FC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422FC1"/>
  <w15:docId w15:val="{FC1F3424-C3FF-D24C-96B2-F30235DE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DE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3C6DE0"/>
    <w:rPr>
      <w:rFonts w:ascii="Times" w:eastAsia="Times" w:hAnsi="Times" w:cs="Times New Roman"/>
      <w:szCs w:val="20"/>
      <w:lang w:eastAsia="en-GB"/>
    </w:rPr>
  </w:style>
  <w:style w:type="character" w:customStyle="1" w:styleId="InternetLink">
    <w:name w:val="Internet Link"/>
    <w:rsid w:val="003C6DE0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C6DE0"/>
    <w:rPr>
      <w:rFonts w:ascii="Times New Roman" w:eastAsia="Times New Roman" w:hAnsi="Times New Roman" w:cs="Times New Roman"/>
      <w:sz w:val="18"/>
      <w:szCs w:val="18"/>
    </w:rPr>
  </w:style>
  <w:style w:type="character" w:customStyle="1" w:styleId="refsource">
    <w:name w:val="refsource"/>
    <w:basedOn w:val="DefaultParagraphFont"/>
    <w:qFormat/>
    <w:rsid w:val="003C6DE0"/>
  </w:style>
  <w:style w:type="character" w:customStyle="1" w:styleId="HeaderChar">
    <w:name w:val="Header Char"/>
    <w:basedOn w:val="DefaultParagraphFont"/>
    <w:link w:val="Header"/>
    <w:uiPriority w:val="99"/>
    <w:qFormat/>
    <w:rsid w:val="003C6DE0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C6DE0"/>
    <w:rPr>
      <w:rFonts w:ascii="Times New Roman" w:eastAsia="Times New Roman" w:hAnsi="Times New Roman" w:cs="Times New Roman"/>
    </w:rPr>
  </w:style>
  <w:style w:type="character" w:customStyle="1" w:styleId="VisitedInternetLink">
    <w:name w:val="Visited Internet Link"/>
    <w:rsid w:val="003C6DE0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rsid w:val="003C6DE0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rsid w:val="003C6DE0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3C6DE0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BodyText"/>
    <w:rsid w:val="003C6DE0"/>
    <w:rPr>
      <w:rFonts w:cs="Arial Unicode MS"/>
    </w:rPr>
  </w:style>
  <w:style w:type="paragraph" w:styleId="Caption">
    <w:name w:val="caption"/>
    <w:basedOn w:val="Normal"/>
    <w:qFormat/>
    <w:rsid w:val="003C6DE0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rsid w:val="003C6DE0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3C6DE0"/>
    <w:pPr>
      <w:ind w:left="2880" w:hanging="2880"/>
    </w:pPr>
    <w:rPr>
      <w:rFonts w:ascii="Times" w:eastAsia="Times" w:hAnsi="Times"/>
      <w:sz w:val="22"/>
      <w:szCs w:val="20"/>
      <w:lang w:eastAsia="en-GB"/>
    </w:rPr>
  </w:style>
  <w:style w:type="character" w:customStyle="1" w:styleId="BodyTextIndentChar1">
    <w:name w:val="Body Text Indent Char1"/>
    <w:basedOn w:val="DefaultParagraphFont"/>
    <w:uiPriority w:val="99"/>
    <w:semiHidden/>
    <w:rsid w:val="003C6DE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C6DE0"/>
    <w:rPr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3C6DE0"/>
    <w:rPr>
      <w:rFonts w:ascii="Segoe UI" w:eastAsia="Times New Roman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  <w:rsid w:val="003C6DE0"/>
  </w:style>
  <w:style w:type="paragraph" w:styleId="Header">
    <w:name w:val="header"/>
    <w:basedOn w:val="Normal"/>
    <w:link w:val="HeaderChar"/>
    <w:uiPriority w:val="99"/>
    <w:unhideWhenUsed/>
    <w:rsid w:val="003C6DE0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3C6DE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6DE0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3C6DE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C6DE0"/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3C6D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DE0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C6DE0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C6DE0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link w:val="DefaultChar"/>
    <w:rsid w:val="003C6DE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ListParagraph">
    <w:name w:val="List Paragraph"/>
    <w:basedOn w:val="Normal"/>
    <w:uiPriority w:val="34"/>
    <w:qFormat/>
    <w:rsid w:val="003C6DE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C6DE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6DE0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6DE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C6DE0"/>
    <w:rPr>
      <w:color w:val="0563C1" w:themeColor="hyperlink"/>
      <w:u w:val="single"/>
    </w:rPr>
  </w:style>
  <w:style w:type="paragraph" w:customStyle="1" w:styleId="EndNoteBibliography">
    <w:name w:val="EndNote Bibliography"/>
    <w:basedOn w:val="Normal"/>
    <w:link w:val="EndNoteBibliographyChar"/>
    <w:rsid w:val="003C6DE0"/>
    <w:rPr>
      <w:rFonts w:eastAsiaTheme="minorHAnsi"/>
      <w:noProof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3C6DE0"/>
    <w:rPr>
      <w:rFonts w:ascii="Times New Roman" w:hAnsi="Times New Roman" w:cs="Times New Roman"/>
      <w:noProof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C6DE0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3C6DE0"/>
    <w:pPr>
      <w:jc w:val="center"/>
    </w:pPr>
    <w:rPr>
      <w:noProof/>
      <w:color w:val="000000"/>
      <w:lang w:val="it-IT"/>
    </w:rPr>
  </w:style>
  <w:style w:type="character" w:customStyle="1" w:styleId="DefaultChar">
    <w:name w:val="Default Char"/>
    <w:basedOn w:val="DefaultParagraphFont"/>
    <w:link w:val="Default"/>
    <w:rsid w:val="003C6DE0"/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EndNoteBibliographyTitleChar">
    <w:name w:val="EndNote Bibliography Title Char"/>
    <w:basedOn w:val="DefaultChar"/>
    <w:link w:val="EndNoteBibliographyTitle"/>
    <w:rsid w:val="003C6DE0"/>
    <w:rPr>
      <w:rFonts w:ascii="Times New Roman" w:eastAsia="Times New Roman" w:hAnsi="Times New Roman" w:cs="Times New Roman"/>
      <w:noProof/>
      <w:color w:val="000000"/>
      <w:sz w:val="24"/>
      <w:szCs w:val="24"/>
      <w:lang w:val="it-I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178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996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9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alk.ictvonline.org/ICTV/proposals/2014.008aP.A.v3.Tombusviridae_s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1199</Words>
  <Characters>6836</Characters>
  <Application>Microsoft Office Word</Application>
  <DocSecurity>0</DocSecurity>
  <Lines>56</Lines>
  <Paragraphs>16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Oklahoma State University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Peter Walker</cp:lastModifiedBy>
  <cp:revision>7</cp:revision>
  <dcterms:created xsi:type="dcterms:W3CDTF">2021-06-03T23:49:00Z</dcterms:created>
  <dcterms:modified xsi:type="dcterms:W3CDTF">2022-03-13T04:06:00Z</dcterms:modified>
</cp:coreProperties>
</file>