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23D0D775" w:rsidR="00A174CC" w:rsidRDefault="00960543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2022.</w:t>
            </w:r>
            <w:r w:rsidR="009C7C11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003P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1771D4C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B026E0" w:rsidRPr="00A567E9">
              <w:rPr>
                <w:rFonts w:ascii="Arial" w:hAnsi="Arial" w:cs="Arial"/>
                <w:bCs/>
                <w:sz w:val="22"/>
                <w:szCs w:val="20"/>
              </w:rPr>
              <w:t xml:space="preserve">Create </w:t>
            </w:r>
            <w:r w:rsidR="00B026E0">
              <w:rPr>
                <w:rFonts w:ascii="Arial" w:hAnsi="Arial" w:cs="Arial"/>
                <w:bCs/>
                <w:sz w:val="22"/>
                <w:szCs w:val="20"/>
              </w:rPr>
              <w:t xml:space="preserve">one new species </w:t>
            </w:r>
            <w:r w:rsidR="00936EB9">
              <w:rPr>
                <w:rFonts w:ascii="Arial" w:hAnsi="Arial" w:cs="Arial"/>
                <w:bCs/>
                <w:sz w:val="22"/>
                <w:szCs w:val="20"/>
              </w:rPr>
              <w:t>(</w:t>
            </w:r>
            <w:proofErr w:type="spellStart"/>
            <w:r w:rsidR="00936EB9" w:rsidRPr="00E5567D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Waikavirus</w:t>
            </w:r>
            <w:proofErr w:type="spellEnd"/>
            <w:r w:rsidR="00936EB9" w:rsidRPr="00E5567D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="00936EB9" w:rsidRPr="00E5567D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rosae</w:t>
            </w:r>
            <w:proofErr w:type="spellEnd"/>
            <w:r w:rsidR="00936EB9">
              <w:rPr>
                <w:rFonts w:ascii="Arial" w:hAnsi="Arial" w:cs="Arial"/>
                <w:bCs/>
                <w:sz w:val="22"/>
                <w:szCs w:val="20"/>
              </w:rPr>
              <w:t xml:space="preserve">) </w:t>
            </w:r>
            <w:r w:rsidR="00B026E0" w:rsidRPr="00A567E9">
              <w:rPr>
                <w:rFonts w:ascii="Arial" w:hAnsi="Arial" w:cs="Arial"/>
                <w:bCs/>
                <w:sz w:val="22"/>
                <w:szCs w:val="20"/>
              </w:rPr>
              <w:t xml:space="preserve">in the genus </w:t>
            </w:r>
            <w:proofErr w:type="spellStart"/>
            <w:r w:rsidR="00B026E0" w:rsidRPr="00EF242B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Waikavirus</w:t>
            </w:r>
            <w:proofErr w:type="spellEnd"/>
            <w:r w:rsidR="007B3113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 xml:space="preserve"> </w:t>
            </w:r>
            <w:r w:rsidR="00B026E0">
              <w:rPr>
                <w:rFonts w:ascii="Arial" w:hAnsi="Arial" w:cs="Arial"/>
                <w:bCs/>
                <w:iCs/>
                <w:sz w:val="22"/>
                <w:szCs w:val="20"/>
              </w:rPr>
              <w:t>(</w:t>
            </w:r>
            <w:proofErr w:type="spellStart"/>
            <w:r w:rsidR="00B026E0" w:rsidRPr="00683CA7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Picornavirales</w:t>
            </w:r>
            <w:proofErr w:type="spellEnd"/>
            <w:r w:rsidR="007B3113" w:rsidRPr="007B3113">
              <w:rPr>
                <w:rFonts w:ascii="Arial" w:hAnsi="Arial" w:cs="Arial"/>
                <w:bCs/>
                <w:sz w:val="22"/>
                <w:szCs w:val="20"/>
              </w:rPr>
              <w:t>:</w:t>
            </w:r>
            <w:r w:rsidR="007B3113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 xml:space="preserve"> </w:t>
            </w:r>
            <w:proofErr w:type="spellStart"/>
            <w:r w:rsidR="007B3113" w:rsidRPr="00EF242B">
              <w:rPr>
                <w:rFonts w:ascii="Arial" w:hAnsi="Arial" w:cs="Arial"/>
                <w:bCs/>
                <w:i/>
                <w:sz w:val="22"/>
                <w:szCs w:val="20"/>
              </w:rPr>
              <w:t>Secoviridae</w:t>
            </w:r>
            <w:proofErr w:type="spellEnd"/>
            <w:r w:rsidR="00B026E0">
              <w:rPr>
                <w:rFonts w:ascii="Arial" w:hAnsi="Arial" w:cs="Arial"/>
                <w:bCs/>
                <w:iCs/>
                <w:sz w:val="22"/>
                <w:szCs w:val="20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2075A4" w14:paraId="67E4419A" w14:textId="77777777" w:rsidTr="001B193D">
        <w:tc>
          <w:tcPr>
            <w:tcW w:w="4368" w:type="dxa"/>
            <w:shd w:val="clear" w:color="auto" w:fill="auto"/>
          </w:tcPr>
          <w:p w14:paraId="5B4DA008" w14:textId="26585ACB" w:rsidR="002075A4" w:rsidRPr="00B026E0" w:rsidRDefault="00B026E0" w:rsidP="00B026E0">
            <w:pPr>
              <w:rPr>
                <w:rFonts w:ascii="Arial" w:hAnsi="Arial" w:cs="Arial"/>
                <w:sz w:val="22"/>
                <w:szCs w:val="22"/>
              </w:rPr>
            </w:pPr>
            <w:r w:rsidRPr="00BF49A2">
              <w:rPr>
                <w:rFonts w:ascii="Arial" w:hAnsi="Arial" w:cs="Arial"/>
                <w:sz w:val="22"/>
                <w:szCs w:val="22"/>
              </w:rPr>
              <w:t>Tang J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Delmiglio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C, Ward, L, </w:t>
            </w:r>
            <w:r w:rsidRPr="00BF49A2">
              <w:rPr>
                <w:rFonts w:ascii="Arial" w:hAnsi="Arial" w:cs="Arial"/>
                <w:sz w:val="22"/>
                <w:szCs w:val="22"/>
              </w:rPr>
              <w:t>Thompson J</w:t>
            </w:r>
          </w:p>
        </w:tc>
        <w:tc>
          <w:tcPr>
            <w:tcW w:w="4704" w:type="dxa"/>
            <w:shd w:val="clear" w:color="auto" w:fill="auto"/>
          </w:tcPr>
          <w:p w14:paraId="4C0145EC" w14:textId="28D0EACD" w:rsidR="002075A4" w:rsidRPr="00B026E0" w:rsidRDefault="00B026E0" w:rsidP="00B026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Joe.Tang@mpi.govt.nz; Catia.Delmiglio@mpi.govt.nz; </w:t>
            </w:r>
            <w:hyperlink r:id="rId8" w:history="1">
              <w:r w:rsidRPr="00B026E0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lisaward@rhs.org.uk</w:t>
              </w:r>
            </w:hyperlink>
            <w:r w:rsidRPr="00B026E0">
              <w:rPr>
                <w:rFonts w:ascii="Arial" w:hAnsi="Arial" w:cs="Arial"/>
                <w:color w:val="000000" w:themeColor="text1"/>
                <w:sz w:val="22"/>
                <w:szCs w:val="22"/>
              </w:rPr>
              <w:t>; Jeremy.Thompson@mpi.govt.nz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p w14:paraId="66BE9775" w14:textId="2B4CEE35" w:rsidR="00A174CC" w:rsidRDefault="00A174CC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66AF02D1" w14:textId="77777777" w:rsidR="00B026E0" w:rsidRPr="00BF49A2" w:rsidRDefault="00B026E0" w:rsidP="00B026E0">
            <w:pPr>
              <w:rPr>
                <w:rFonts w:ascii="Arial" w:hAnsi="Arial" w:cs="Arial"/>
                <w:sz w:val="22"/>
                <w:szCs w:val="22"/>
              </w:rPr>
            </w:pPr>
            <w:r w:rsidRPr="00BF49A2">
              <w:rPr>
                <w:rFonts w:ascii="Arial" w:hAnsi="Arial" w:cs="Arial"/>
                <w:sz w:val="22"/>
                <w:szCs w:val="22"/>
                <w:lang w:val="en-GB"/>
              </w:rPr>
              <w:t xml:space="preserve">Plant Health &amp; Environment Laboratory, </w:t>
            </w:r>
            <w:r w:rsidRPr="00BF49A2">
              <w:rPr>
                <w:rFonts w:ascii="Arial" w:hAnsi="Arial" w:cs="Arial"/>
                <w:sz w:val="22"/>
                <w:szCs w:val="22"/>
              </w:rPr>
              <w:t>Ministry for Primary Industries</w:t>
            </w:r>
          </w:p>
          <w:p w14:paraId="1033F5C1" w14:textId="630C0C93" w:rsidR="00A174CC" w:rsidRDefault="00B026E0" w:rsidP="00B026E0">
            <w:pPr>
              <w:rPr>
                <w:rFonts w:ascii="Arial" w:hAnsi="Arial" w:cs="Arial"/>
                <w:sz w:val="22"/>
                <w:szCs w:val="22"/>
              </w:rPr>
            </w:pPr>
            <w:r w:rsidRPr="00BF49A2">
              <w:rPr>
                <w:rFonts w:ascii="Arial" w:hAnsi="Arial" w:cs="Arial"/>
                <w:sz w:val="22"/>
                <w:szCs w:val="22"/>
              </w:rPr>
              <w:t xml:space="preserve">231 </w:t>
            </w:r>
            <w:proofErr w:type="spellStart"/>
            <w:r w:rsidRPr="00BF49A2">
              <w:rPr>
                <w:rFonts w:ascii="Arial" w:hAnsi="Arial" w:cs="Arial"/>
                <w:sz w:val="22"/>
                <w:szCs w:val="22"/>
              </w:rPr>
              <w:t>Morrin</w:t>
            </w:r>
            <w:proofErr w:type="spellEnd"/>
            <w:r w:rsidRPr="00BF49A2">
              <w:rPr>
                <w:rFonts w:ascii="Arial" w:hAnsi="Arial" w:cs="Arial"/>
                <w:sz w:val="22"/>
                <w:szCs w:val="22"/>
              </w:rPr>
              <w:t xml:space="preserve"> Road, St Johns, Auckland 1072, New Zealand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5A1EC094" w:rsidR="00A174CC" w:rsidRDefault="00B026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Jeremy Thompson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13C0C035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22F56CB7" w:rsidR="00A174CC" w:rsidRDefault="008E6C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5E20">
              <w:rPr>
                <w:rFonts w:ascii="Arial" w:hAnsi="Arial" w:cs="Arial"/>
                <w:i/>
                <w:iCs/>
                <w:sz w:val="22"/>
                <w:szCs w:val="22"/>
              </w:rPr>
              <w:t>Secoviridae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2E1D7A4" w:rsidR="00A174CC" w:rsidRDefault="008E6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Most members of the </w:t>
            </w:r>
            <w:proofErr w:type="spellStart"/>
            <w:r w:rsidRPr="00625E20">
              <w:rPr>
                <w:rFonts w:ascii="Arial" w:hAnsi="Arial" w:cs="Arial"/>
                <w:i/>
                <w:iCs/>
                <w:sz w:val="22"/>
                <w:szCs w:val="22"/>
              </w:rPr>
              <w:t>Secoviridae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Study Group are supportive of the proposal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8E6CCC" w14:paraId="1702CDE1" w14:textId="10B24E51" w:rsidTr="004F3196">
        <w:tc>
          <w:tcPr>
            <w:tcW w:w="2977" w:type="dxa"/>
            <w:shd w:val="clear" w:color="auto" w:fill="auto"/>
          </w:tcPr>
          <w:p w14:paraId="6D3E3F4D" w14:textId="280F28FC" w:rsidR="008E6CCC" w:rsidRPr="000227A2" w:rsidRDefault="008E6CCC" w:rsidP="008E6C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27A2">
              <w:rPr>
                <w:rFonts w:ascii="Arial" w:hAnsi="Arial" w:cs="Arial"/>
                <w:i/>
                <w:iCs/>
                <w:sz w:val="22"/>
                <w:szCs w:val="22"/>
              </w:rPr>
              <w:t>Secoviridae</w:t>
            </w:r>
            <w:proofErr w:type="spellEnd"/>
            <w:r w:rsidRPr="000227A2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59D4D1B8" w:rsidR="008E6CCC" w:rsidRPr="000227A2" w:rsidRDefault="000B51D4" w:rsidP="008E6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EC5D82B" w14:textId="7B49A37F" w:rsidR="008E6CCC" w:rsidRPr="000227A2" w:rsidRDefault="008E6CCC" w:rsidP="008E6CCC">
            <w:pPr>
              <w:rPr>
                <w:rFonts w:ascii="Arial" w:hAnsi="Arial" w:cs="Arial"/>
                <w:sz w:val="22"/>
                <w:szCs w:val="22"/>
              </w:rPr>
            </w:pPr>
            <w:r w:rsidRPr="000227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3732184" w14:textId="3B328243" w:rsidR="008E6CCC" w:rsidRPr="008E6CCC" w:rsidRDefault="008E6CCC" w:rsidP="008E6CC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E6CCC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8E6CCC" w:rsidRDefault="008E6CCC" w:rsidP="008E6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8E6CCC" w:rsidRDefault="008E6CCC" w:rsidP="008E6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8E6CCC" w:rsidRDefault="008E6CCC" w:rsidP="008E6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8E6CCC" w:rsidRDefault="008E6CCC" w:rsidP="008E6C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549B7D6" w:rsidR="00A174CC" w:rsidRPr="000A146A" w:rsidRDefault="009C7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3D79EE5" w:rsidR="00A174CC" w:rsidRDefault="008E6CCC">
            <w:pPr>
              <w:rPr>
                <w:rFonts w:ascii="Arial" w:hAnsi="Arial" w:cs="Arial"/>
                <w:sz w:val="22"/>
                <w:szCs w:val="22"/>
              </w:rPr>
            </w:pPr>
            <w:r w:rsidRPr="000227A2">
              <w:rPr>
                <w:rFonts w:ascii="Arial" w:hAnsi="Arial" w:cs="Arial"/>
                <w:sz w:val="22"/>
                <w:szCs w:val="22"/>
              </w:rPr>
              <w:t>May 20,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5AA5F8DE" w:rsidR="00A174CC" w:rsidRDefault="00683C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27, 2022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E9B1E6F" w14:textId="252ED5DA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</w:p>
    <w:p w14:paraId="55BF141F" w14:textId="77777777" w:rsidR="00A174CC" w:rsidRDefault="00A174CC"/>
    <w:p w14:paraId="5BFC1800" w14:textId="34A4A571" w:rsidR="00A174CC" w:rsidRPr="009C7C11" w:rsidRDefault="008815EE" w:rsidP="009C7C11">
      <w:pPr>
        <w:rPr>
          <w:b/>
        </w:rPr>
      </w:pPr>
      <w:r>
        <w:br w:type="page"/>
      </w:r>
      <w:r w:rsidRPr="009C7C11">
        <w:rPr>
          <w:b/>
        </w:rPr>
        <w:lastRenderedPageBreak/>
        <w:t>Part 3: 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17CA3471" w:rsidR="00A174CC" w:rsidRDefault="008E6CC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A4007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A4007" w:rsidRPr="009A400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C24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C7C11">
              <w:rPr>
                <w:rFonts w:ascii="Arial" w:hAnsi="Arial" w:cs="Arial"/>
                <w:bCs/>
                <w:sz w:val="22"/>
                <w:szCs w:val="22"/>
              </w:rPr>
              <w:t>003P</w:t>
            </w:r>
            <w:r w:rsidR="00960543">
              <w:rPr>
                <w:rFonts w:ascii="Arial" w:hAnsi="Arial" w:cs="Arial"/>
                <w:bCs/>
                <w:sz w:val="22"/>
                <w:szCs w:val="22"/>
              </w:rPr>
              <w:t>.N.v1</w:t>
            </w:r>
            <w:r w:rsidR="007B311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A4007" w:rsidRPr="009A4007">
              <w:rPr>
                <w:rFonts w:ascii="Arial" w:hAnsi="Arial" w:cs="Arial"/>
                <w:bCs/>
                <w:sz w:val="22"/>
                <w:szCs w:val="22"/>
              </w:rPr>
              <w:t>Seco</w:t>
            </w:r>
            <w:r w:rsidRPr="009A4007">
              <w:rPr>
                <w:rFonts w:ascii="Arial" w:hAnsi="Arial" w:cs="Arial"/>
                <w:bCs/>
                <w:sz w:val="22"/>
                <w:szCs w:val="22"/>
              </w:rPr>
              <w:t>viridae</w:t>
            </w:r>
            <w:r w:rsidR="00CC24FD">
              <w:rPr>
                <w:rFonts w:ascii="Arial" w:hAnsi="Arial" w:cs="Arial"/>
                <w:bCs/>
                <w:sz w:val="22"/>
                <w:szCs w:val="22"/>
              </w:rPr>
              <w:t>_1ns</w:t>
            </w:r>
            <w:r w:rsidRPr="009A4007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4F429E61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71230905" w:rsidR="00A174CC" w:rsidRPr="008E6CCC" w:rsidRDefault="00B026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c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>omplete genome sequence of a novel virus infecting sweetbriar rose (</w:t>
            </w:r>
            <w:r w:rsidRPr="00FE51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Rosa </w:t>
            </w:r>
            <w:proofErr w:type="spellStart"/>
            <w:r w:rsidRPr="00FE51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rubiginosa</w:t>
            </w:r>
            <w:proofErr w:type="spellEnd"/>
            <w:r w:rsidRPr="00FE5194">
              <w:rPr>
                <w:rFonts w:ascii="Arial" w:hAnsi="Arial" w:cs="Arial"/>
                <w:bCs/>
                <w:sz w:val="22"/>
                <w:szCs w:val="22"/>
              </w:rPr>
              <w:t xml:space="preserve">) was assembled using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>igh-</w:t>
            </w: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 xml:space="preserve">hroughput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 xml:space="preserve">equencing combined with RACE-PCR. The identified monopartite single-stranded positive-sense RNA genome of 13.2 kb contains a single large ORF.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virus is tentatively named s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>weetbriar rose curly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>top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>associated virus (</w:t>
            </w:r>
            <w:proofErr w:type="spellStart"/>
            <w:r w:rsidRPr="00FE5194">
              <w:rPr>
                <w:rFonts w:ascii="Arial" w:hAnsi="Arial" w:cs="Arial"/>
                <w:bCs/>
                <w:sz w:val="22"/>
                <w:szCs w:val="22"/>
              </w:rPr>
              <w:t>SRCTaV</w:t>
            </w:r>
            <w:proofErr w:type="spellEnd"/>
            <w:r w:rsidRPr="00FE519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E5194">
              <w:rPr>
                <w:rFonts w:ascii="Arial" w:hAnsi="Arial" w:cs="Arial"/>
                <w:bCs/>
                <w:sz w:val="22"/>
                <w:szCs w:val="22"/>
              </w:rPr>
              <w:t xml:space="preserve"> The genome structure, together with the homology of </w:t>
            </w:r>
            <w:proofErr w:type="spellStart"/>
            <w:r w:rsidRPr="00FE5194">
              <w:rPr>
                <w:rFonts w:ascii="Arial" w:hAnsi="Arial" w:cs="Arial"/>
                <w:bCs/>
                <w:sz w:val="22"/>
                <w:szCs w:val="22"/>
              </w:rPr>
              <w:t>waikavirus</w:t>
            </w:r>
            <w:proofErr w:type="spellEnd"/>
            <w:r w:rsidRPr="00FE5194">
              <w:rPr>
                <w:rFonts w:ascii="Arial" w:hAnsi="Arial" w:cs="Arial"/>
                <w:bCs/>
                <w:sz w:val="22"/>
                <w:szCs w:val="22"/>
              </w:rPr>
              <w:t xml:space="preserve"> proteins, clearly indicate that the detected virus is a novel member of the genus </w:t>
            </w:r>
            <w:proofErr w:type="spellStart"/>
            <w:r w:rsidRPr="00FE51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Waikavirus</w:t>
            </w:r>
            <w:proofErr w:type="spellEnd"/>
            <w:r w:rsidRPr="00FE5194">
              <w:rPr>
                <w:rFonts w:ascii="Arial" w:hAnsi="Arial" w:cs="Arial"/>
                <w:bCs/>
                <w:sz w:val="22"/>
                <w:szCs w:val="22"/>
              </w:rPr>
              <w:t>. The name of the species</w:t>
            </w:r>
            <w:bookmarkStart w:id="0" w:name="_Hlk86219803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C7AF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Waikavirus</w:t>
            </w:r>
            <w:proofErr w:type="spellEnd"/>
            <w:r w:rsidRPr="004C7AF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7AF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rosae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End w:id="0"/>
            <w:r w:rsidRPr="00FE5194">
              <w:rPr>
                <w:rFonts w:ascii="Arial" w:hAnsi="Arial" w:cs="Arial"/>
                <w:bCs/>
                <w:sz w:val="22"/>
                <w:szCs w:val="22"/>
              </w:rPr>
              <w:t>is proposed</w:t>
            </w:r>
            <w:r w:rsidR="008E6CCC" w:rsidRPr="000618E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6B724A3D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01E07E80" w:rsidR="00A174CC" w:rsidRDefault="00B026E0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E23B57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0B3A5F">
                    <w:rPr>
                      <w:rFonts w:ascii="Arial" w:hAnsi="Arial" w:cs="Arial" w:hint="eastAsia"/>
                      <w:sz w:val="22"/>
                      <w:szCs w:val="22"/>
                    </w:rPr>
                    <w:t xml:space="preserve"> </w:t>
                  </w:r>
                  <w:r w:rsidRPr="00E23B57">
                    <w:rPr>
                      <w:rFonts w:ascii="Arial" w:hAnsi="Arial" w:cs="Arial"/>
                      <w:sz w:val="22"/>
                      <w:szCs w:val="22"/>
                    </w:rPr>
                    <w:t xml:space="preserve">novel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</w:rPr>
                    <w:t>waikavirus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 w:rsidRPr="00E23B57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sweetbri</w:t>
                  </w:r>
                  <w:r w:rsidR="007E1B25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a</w:t>
                  </w:r>
                  <w:r w:rsidRPr="00E23B57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r rose (</w:t>
                  </w:r>
                  <w:r w:rsidRPr="00E23B57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val="en-NZ"/>
                    </w:rPr>
                    <w:t xml:space="preserve">Rosa </w:t>
                  </w:r>
                  <w:proofErr w:type="spellStart"/>
                  <w:r w:rsidRPr="00E23B57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val="en-NZ"/>
                    </w:rPr>
                    <w:t>rubiginosa</w:t>
                  </w:r>
                  <w:proofErr w:type="spellEnd"/>
                  <w:r w:rsidRPr="00E23B57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 xml:space="preserve">) plants showing symptoms of leaf curling of upper leaves and shortening of the terminal internodes, using high-throughput sequencing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MiSeq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 xml:space="preserve">, Illumina), </w:t>
                  </w:r>
                  <w:r w:rsidRPr="00E23B57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with the residual 5’ terminus of the genome determined by RACE-PCR and 3’ terminus resolved from an RT-PCR</w:t>
                  </w:r>
                  <w:r w:rsidR="000B3A5F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>-</w:t>
                  </w:r>
                  <w:r w:rsidRPr="00E23B57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 xml:space="preserve">derived </w:t>
                  </w:r>
                  <w:r w:rsidR="000B3A5F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 xml:space="preserve">fragment </w:t>
                  </w:r>
                  <w:r w:rsidRPr="00E23B57">
                    <w:rPr>
                      <w:rFonts w:ascii="Arial" w:hAnsi="Arial" w:cs="Arial"/>
                      <w:bCs/>
                      <w:sz w:val="22"/>
                      <w:szCs w:val="22"/>
                      <w:lang w:val="en-NZ"/>
                    </w:rPr>
                    <w:t xml:space="preserve">using Oligo-(d)T and virus-specific primers. </w:t>
                  </w:r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The genome sequence of the novel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waikavirus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was determined to be 13,184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nt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in length excluding the 3’ poly(A) tail. A single large ORF of 11,328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nt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in size is flanked by the 5’ and 3’ UTR, 520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nt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and 1,336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nt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in length, respectively. Six putative cleavage sites of the 426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kDa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polyprotein (3775 aa) were predicted from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ClustalW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-aligned aa sequences of known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waikaviruses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producing a hypothetical protein (protein 1), three capsid proteins (CPs), a putative NTP-binding protein (NTB), a 3C-like proteinase (Pro) and a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RdRP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. Phylogenetic analysis in both the conserved Pro-Pol and CP regions showed that the novel virus is clearly located in a clade containing all other members, recognised or tentative, of the genus </w:t>
                  </w:r>
                  <w:proofErr w:type="spellStart"/>
                  <w:r w:rsidRPr="00E23B57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NZ"/>
                    </w:rPr>
                    <w:t>Waikavirus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. Further, the amino acid sequences of conserved Pro-Pol region and CP region of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SRCTaV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share 37.3% - 53.7% and 24.3% - 37.8% identity, respectively, to all currently known 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waikaviruses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. Based on the genome structure, phylogenetic analyses, percentage aa sequence identities, </w:t>
                  </w:r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Considering the species demarcation criteria for the family </w:t>
                  </w:r>
                  <w:proofErr w:type="spellStart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Secoviridae</w:t>
                  </w:r>
                  <w:proofErr w:type="spellEnd"/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 less than 75% amino acid sequence in the CP and/or less than 80% amino acid sequence in the conserved Pro-Pol region (Karasev et al. 2019, </w:t>
                  </w:r>
                  <w:proofErr w:type="spellStart"/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Sanfaçon</w:t>
                  </w:r>
                  <w:proofErr w:type="spellEnd"/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et al. 2019, Thompson et al. 2017), we propose to classify s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weetbriar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 rose curly-top associated virus (</w:t>
                  </w:r>
                  <w:proofErr w:type="spellStart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>SRCTaV</w:t>
                  </w:r>
                  <w:proofErr w:type="spellEnd"/>
                  <w:r w:rsidRPr="00E23B57">
                    <w:rPr>
                      <w:rFonts w:ascii="Arial" w:hAnsi="Arial" w:cs="Arial"/>
                      <w:sz w:val="22"/>
                      <w:szCs w:val="22"/>
                      <w:lang w:val="en-NZ"/>
                    </w:rPr>
                    <w:t xml:space="preserve">) </w:t>
                  </w:r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as a member of a novel species named </w:t>
                  </w:r>
                  <w:proofErr w:type="spellStart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Waikavirus</w:t>
                  </w:r>
                  <w:proofErr w:type="spellEnd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ros</w:t>
                  </w:r>
                  <w: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</w:t>
                  </w:r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</w:t>
                  </w:r>
                  <w:proofErr w:type="spellEnd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in the genus </w:t>
                  </w:r>
                  <w:proofErr w:type="spellStart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Waikavirus</w:t>
                  </w:r>
                  <w:proofErr w:type="spellEnd"/>
                  <w:r w:rsidRPr="00E23B5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of the family</w:t>
                  </w:r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Secoviridae</w:t>
                  </w:r>
                  <w:proofErr w:type="spellEnd"/>
                  <w:r w:rsidRPr="00E23B57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53F11AB" w14:textId="77777777" w:rsidR="00B026E0" w:rsidRDefault="00B026E0" w:rsidP="00B026E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51EFD8B" w14:textId="77777777" w:rsidR="00B026E0" w:rsidRDefault="00B026E0" w:rsidP="00B026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B3CF9C7" wp14:editId="4D472C12">
            <wp:extent cx="5495925" cy="1209675"/>
            <wp:effectExtent l="0" t="0" r="9525" b="952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5963" r="2780" b="9894"/>
                    <a:stretch/>
                  </pic:blipFill>
                  <pic:spPr bwMode="auto">
                    <a:xfrm>
                      <a:off x="0" y="0"/>
                      <a:ext cx="549592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18EA6" w14:textId="77777777" w:rsidR="00B026E0" w:rsidRDefault="00B026E0" w:rsidP="00B026E0">
      <w:pPr>
        <w:rPr>
          <w:rFonts w:ascii="Arial" w:hAnsi="Arial" w:cs="Arial"/>
          <w:b/>
          <w:sz w:val="22"/>
          <w:szCs w:val="22"/>
        </w:rPr>
      </w:pPr>
    </w:p>
    <w:p w14:paraId="6DFA35EB" w14:textId="141A4868" w:rsidR="00B026E0" w:rsidRPr="00B026E0" w:rsidRDefault="00B026E0" w:rsidP="00B026E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val="en-NZ"/>
        </w:rPr>
      </w:pPr>
      <w:r w:rsidRPr="00B026E0">
        <w:rPr>
          <w:rFonts w:ascii="Arial" w:eastAsia="Calibri" w:hAnsi="Arial" w:cs="Arial"/>
          <w:b/>
          <w:bCs/>
          <w:sz w:val="22"/>
          <w:szCs w:val="22"/>
          <w:lang w:val="en-NZ"/>
        </w:rPr>
        <w:t>Fig</w:t>
      </w:r>
      <w:r>
        <w:rPr>
          <w:rFonts w:ascii="Arial" w:eastAsia="Calibri" w:hAnsi="Arial" w:cs="Arial"/>
          <w:b/>
          <w:bCs/>
          <w:sz w:val="22"/>
          <w:szCs w:val="22"/>
          <w:lang w:val="en-NZ"/>
        </w:rPr>
        <w:t>ure</w:t>
      </w:r>
      <w:r w:rsidRPr="00B026E0">
        <w:rPr>
          <w:rFonts w:ascii="Arial" w:eastAsia="Calibri" w:hAnsi="Arial" w:cs="Arial"/>
          <w:b/>
          <w:bCs/>
          <w:sz w:val="22"/>
          <w:szCs w:val="22"/>
          <w:lang w:val="en-NZ"/>
        </w:rPr>
        <w:t xml:space="preserve"> 1</w:t>
      </w:r>
      <w:r>
        <w:rPr>
          <w:rFonts w:ascii="Arial" w:eastAsia="Calibri" w:hAnsi="Arial" w:cs="Arial"/>
          <w:b/>
          <w:bCs/>
          <w:sz w:val="22"/>
          <w:szCs w:val="22"/>
          <w:lang w:val="en-NZ"/>
        </w:rPr>
        <w:t>.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The genome structure of sweetbriar rose curly top associated virus (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SRCTaV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). Boxes represent open reading frames, blue terminal lines untranslated regions (UTR).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lastRenderedPageBreak/>
        <w:t xml:space="preserve">Predicted cleavage sites and their positions are marked by arrows above the predicted cleavage residues. The calculated length and molecular mass for each protein is shown under its name. P1, </w:t>
      </w:r>
      <w:bookmarkStart w:id="1" w:name="_Hlk76483236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hypothetical protein (protein 1); CP, capsid protein; NTB, putative NTP-binding protein; Pro, 3C-like proteinase;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RdRP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, RNA-dependent RNA polymerase. </w:t>
      </w:r>
      <w:bookmarkEnd w:id="1"/>
    </w:p>
    <w:p w14:paraId="32F35A61" w14:textId="77777777" w:rsidR="00B026E0" w:rsidRDefault="00B026E0" w:rsidP="00B026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E729424" wp14:editId="4CAA0E9B">
            <wp:extent cx="5731510" cy="6471285"/>
            <wp:effectExtent l="0" t="0" r="2540" b="5715"/>
            <wp:docPr id="4" name="Picture 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chematic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7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0D5B" w14:textId="1C61B05F" w:rsidR="00B026E0" w:rsidRPr="00B026E0" w:rsidRDefault="00B026E0" w:rsidP="00B026E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val="en-NZ"/>
        </w:rPr>
      </w:pPr>
      <w:r w:rsidRPr="00B026E0">
        <w:rPr>
          <w:rFonts w:ascii="Arial" w:eastAsia="Calibri" w:hAnsi="Arial" w:cs="Arial"/>
          <w:b/>
          <w:bCs/>
          <w:sz w:val="22"/>
          <w:szCs w:val="22"/>
          <w:lang w:val="en-NZ"/>
        </w:rPr>
        <w:t>Fig</w:t>
      </w:r>
      <w:r>
        <w:rPr>
          <w:rFonts w:ascii="Arial" w:eastAsia="Calibri" w:hAnsi="Arial" w:cs="Arial"/>
          <w:b/>
          <w:bCs/>
          <w:sz w:val="22"/>
          <w:szCs w:val="22"/>
          <w:lang w:val="en-NZ"/>
        </w:rPr>
        <w:t>ure</w:t>
      </w:r>
      <w:r w:rsidRPr="00B026E0">
        <w:rPr>
          <w:rFonts w:ascii="Arial" w:eastAsia="Calibri" w:hAnsi="Arial" w:cs="Arial"/>
          <w:b/>
          <w:bCs/>
          <w:sz w:val="22"/>
          <w:szCs w:val="22"/>
          <w:lang w:val="en-NZ"/>
        </w:rPr>
        <w:t xml:space="preserve"> 2</w:t>
      </w:r>
      <w:r>
        <w:rPr>
          <w:rFonts w:ascii="Arial" w:eastAsia="Calibri" w:hAnsi="Arial" w:cs="Arial"/>
          <w:b/>
          <w:bCs/>
          <w:sz w:val="22"/>
          <w:szCs w:val="22"/>
          <w:lang w:val="en-NZ"/>
        </w:rPr>
        <w:t>.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Phylogenetic trees of members of the genus </w:t>
      </w:r>
      <w:proofErr w:type="spellStart"/>
      <w:r w:rsidRPr="00B026E0">
        <w:rPr>
          <w:rFonts w:ascii="Arial" w:eastAsia="Calibri" w:hAnsi="Arial" w:cs="Arial"/>
          <w:i/>
          <w:iCs/>
          <w:sz w:val="22"/>
          <w:szCs w:val="22"/>
          <w:lang w:val="en-NZ"/>
        </w:rPr>
        <w:t>Waikavirus</w:t>
      </w:r>
      <w:proofErr w:type="spellEnd"/>
      <w:r w:rsidRPr="00B026E0">
        <w:rPr>
          <w:rFonts w:ascii="Arial" w:eastAsia="Calibri" w:hAnsi="Arial" w:cs="Arial"/>
          <w:i/>
          <w:iCs/>
          <w:sz w:val="22"/>
          <w:szCs w:val="22"/>
          <w:lang w:val="en-NZ"/>
        </w:rPr>
        <w:t xml:space="preserve">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and representative members of the family </w:t>
      </w:r>
      <w:proofErr w:type="spellStart"/>
      <w:r w:rsidRPr="00B026E0">
        <w:rPr>
          <w:rFonts w:ascii="Arial" w:eastAsia="Calibri" w:hAnsi="Arial" w:cs="Arial"/>
          <w:i/>
          <w:iCs/>
          <w:sz w:val="22"/>
          <w:szCs w:val="22"/>
          <w:lang w:val="en-NZ"/>
        </w:rPr>
        <w:t>Secoviridae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based on an alignment of the amino acid sequences of the CG-GDD region (A) and coat protein region (B). The trees were produced by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PhyML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[12] in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TOPALi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v2.5 using WAG+I+G evolutionary model. Results are presented as a rooted tree. Bootstrap values (right) (1000 bootstrap replicates) greater than 50% and percentage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lastRenderedPageBreak/>
        <w:t xml:space="preserve">posterior probabilities (left) (as obtained using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MrBayes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) are shown at the corresponding branches. Dash (-) indicates less than 50% support. Virus genera are shown on the right with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waikavirus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and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sequivirus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clades marked with shade. PVY (potato virus Y) = outgroup. The position of sweetbriar rose curly top-associated virus (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SRCTaV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) is highlighted by the rectangle box. Bar on the left represents the genetic distance. All analysed sequences are labelled with the virus acronym and accession number. AYV1, </w:t>
      </w:r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Actinidia yellowing virus 1;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BBWV2, broad bean wilt virus 2; </w:t>
      </w:r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BCWVA, blackcurrant </w:t>
      </w:r>
      <w:proofErr w:type="spellStart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>waikavirus</w:t>
      </w:r>
      <w:proofErr w:type="spellEnd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 A; BnRV1, Brassica napus RNA virus 1; BVCV, bellflower vein chlorosis virus;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CNDV, carrot necrotic dieback virus; CPMV, cowpea severe mosaic virus; CRLV, cherry rasp leaf virus; GFLV, grapevine fanleaf virus; LWaiV1, </w:t>
      </w:r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lettuce </w:t>
      </w:r>
      <w:proofErr w:type="spellStart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>waikavirus</w:t>
      </w:r>
      <w:proofErr w:type="spellEnd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 1; MCDV, maize chlorotic dwarf virus; PoLV1, </w:t>
      </w:r>
      <w:proofErr w:type="spellStart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>Poaceae</w:t>
      </w:r>
      <w:proofErr w:type="spellEnd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 Liege virus 1; </w:t>
      </w:r>
      <w:proofErr w:type="spellStart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>PWaiV</w:t>
      </w:r>
      <w:proofErr w:type="spellEnd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, persimmon </w:t>
      </w:r>
      <w:proofErr w:type="spellStart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>waikavirus</w:t>
      </w:r>
      <w:proofErr w:type="spellEnd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;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>PYFV, parsnip yellow fleck virus;</w:t>
      </w:r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 RCaV1, red clover-associated virus 1; RTSV, rice </w:t>
      </w:r>
      <w:proofErr w:type="spellStart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>tungro</w:t>
      </w:r>
      <w:proofErr w:type="spellEnd"/>
      <w:r w:rsidRPr="00B026E0">
        <w:rPr>
          <w:rFonts w:ascii="Arial" w:eastAsia="SimSun" w:hAnsi="Arial" w:cs="Arial"/>
          <w:sz w:val="22"/>
          <w:szCs w:val="22"/>
          <w:lang w:val="en-NZ" w:eastAsia="zh-CN"/>
        </w:rPr>
        <w:t xml:space="preserve"> spherical virus; </w:t>
      </w:r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SDV, satsuma dwarf virus;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ToTV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, tomato </w:t>
      </w:r>
      <w:proofErr w:type="spellStart"/>
      <w:r w:rsidRPr="00B026E0">
        <w:rPr>
          <w:rFonts w:ascii="Arial" w:eastAsia="Calibri" w:hAnsi="Arial" w:cs="Arial"/>
          <w:sz w:val="22"/>
          <w:szCs w:val="22"/>
          <w:lang w:val="en-NZ"/>
        </w:rPr>
        <w:t>torrado</w:t>
      </w:r>
      <w:proofErr w:type="spellEnd"/>
      <w:r w:rsidRPr="00B026E0">
        <w:rPr>
          <w:rFonts w:ascii="Arial" w:eastAsia="Calibri" w:hAnsi="Arial" w:cs="Arial"/>
          <w:sz w:val="22"/>
          <w:szCs w:val="22"/>
          <w:lang w:val="en-NZ"/>
        </w:rPr>
        <w:t xml:space="preserve"> virus. </w:t>
      </w:r>
    </w:p>
    <w:p w14:paraId="1F282CC2" w14:textId="77777777" w:rsidR="00B026E0" w:rsidRPr="006D1B55" w:rsidRDefault="00B026E0" w:rsidP="00B026E0">
      <w:pPr>
        <w:rPr>
          <w:rFonts w:ascii="Arial" w:hAnsi="Arial" w:cs="Arial"/>
          <w:b/>
          <w:sz w:val="22"/>
          <w:szCs w:val="22"/>
          <w:lang w:val="en-NZ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400"/>
        <w:gridCol w:w="1540"/>
        <w:gridCol w:w="1960"/>
        <w:gridCol w:w="2560"/>
        <w:gridCol w:w="1480"/>
      </w:tblGrid>
      <w:tr w:rsidR="00B026E0" w:rsidRPr="00851F80" w14:paraId="233D35CD" w14:textId="77777777" w:rsidTr="00EF5F41">
        <w:trPr>
          <w:trHeight w:val="709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DA01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Table 1</w:t>
            </w: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. Comparison of identity (%) of whole genome nucleotide (</w:t>
            </w:r>
            <w:proofErr w:type="spellStart"/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nt</w:t>
            </w:r>
            <w:proofErr w:type="spellEnd"/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 xml:space="preserve">) sequences, and amino acid (aa) sequences of selected regions, for definitive and tentative members of </w:t>
            </w:r>
            <w:proofErr w:type="spellStart"/>
            <w:r w:rsidRPr="00851F8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NZ" w:eastAsia="zh-CN"/>
              </w:rPr>
              <w:t>Waikavirus</w:t>
            </w:r>
            <w:proofErr w:type="spellEnd"/>
          </w:p>
        </w:tc>
      </w:tr>
      <w:tr w:rsidR="00B026E0" w:rsidRPr="00851F80" w14:paraId="71CB86F1" w14:textId="77777777" w:rsidTr="00EF5F41">
        <w:trPr>
          <w:trHeight w:val="649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5C05A" w14:textId="77777777" w:rsidR="00B026E0" w:rsidRPr="00851F80" w:rsidRDefault="00B026E0" w:rsidP="00EF5F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Virus/GenBank accession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13674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Whole genome (</w:t>
            </w:r>
            <w:proofErr w:type="spellStart"/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nt</w:t>
            </w:r>
            <w:proofErr w:type="spellEnd"/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2E06C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Whole coding region (aa)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878BD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Polymerase CG-GDD region (aa)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C948C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zh-CN"/>
              </w:rPr>
              <w:t>Coat proteins (aa)</w:t>
            </w:r>
          </w:p>
        </w:tc>
      </w:tr>
      <w:tr w:rsidR="00B026E0" w:rsidRPr="00851F80" w14:paraId="0E31B966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25B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AYV1_MN180070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08A0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40.57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B7A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21.72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9A1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37.26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1C2C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24.28</w:t>
            </w:r>
          </w:p>
        </w:tc>
      </w:tr>
      <w:tr w:rsidR="00B026E0" w:rsidRPr="00851F80" w14:paraId="711356D6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49BC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BCWVA_QMU95531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4F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44.54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7358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28.76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A4C1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53.65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E6A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32.63</w:t>
            </w:r>
          </w:p>
        </w:tc>
      </w:tr>
      <w:tr w:rsidR="00B026E0" w:rsidRPr="00851F80" w14:paraId="70FCCD3D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4EAD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BnRV1_NC_040586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EAEF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46.04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B37B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30.61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BA9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49.89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47A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37.81</w:t>
            </w:r>
          </w:p>
        </w:tc>
      </w:tr>
      <w:tr w:rsidR="00B026E0" w:rsidRPr="00851F80" w14:paraId="61D0A71B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3F5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BVCV_NC_027915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F28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46.07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A24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29.61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227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51.19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8B5F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36.08</w:t>
            </w:r>
          </w:p>
        </w:tc>
      </w:tr>
      <w:tr w:rsidR="00B026E0" w:rsidRPr="00851F80" w14:paraId="7482A2A3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B0B8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LWaiV1_MT348710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A9F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45.25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B66B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29.80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5A0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47.85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4226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35.50</w:t>
            </w:r>
          </w:p>
        </w:tc>
      </w:tr>
      <w:tr w:rsidR="00B026E0" w:rsidRPr="00851F80" w14:paraId="2BACFE51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4AB7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MCDV_NC_003626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1FED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43.85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1F2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28.13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B81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49.68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E7E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33.89</w:t>
            </w:r>
          </w:p>
        </w:tc>
      </w:tr>
      <w:tr w:rsidR="00B026E0" w:rsidRPr="00851F80" w14:paraId="4C0A99BA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3B66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PoLV1_MW289237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86F5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41.59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2BE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23.74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C6A2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40.42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F8B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27.13</w:t>
            </w:r>
          </w:p>
        </w:tc>
      </w:tr>
      <w:tr w:rsidR="00B026E0" w:rsidRPr="00851F80" w14:paraId="11B32AF2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36E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PWaiV_LC488189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7B27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58FD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22.59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C93D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39.96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F24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25.80</w:t>
            </w:r>
          </w:p>
        </w:tc>
      </w:tr>
      <w:tr w:rsidR="00B026E0" w:rsidRPr="00851F80" w14:paraId="0D086BCA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4ADA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RCaV1_MH325329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44DE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46.15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0EA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29.32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79CD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51.18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A51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33.74</w:t>
            </w:r>
          </w:p>
        </w:tc>
      </w:tr>
      <w:tr w:rsidR="00B026E0" w:rsidRPr="00851F80" w14:paraId="0FA0ABDF" w14:textId="77777777" w:rsidTr="00EF5F41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BD281" w14:textId="77777777" w:rsidR="00B026E0" w:rsidRPr="00851F80" w:rsidRDefault="00B026E0" w:rsidP="00EF5F41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RTSV_NC_001632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75DD8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44.10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E16E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27.50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EC67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48.50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CE66C" w14:textId="77777777" w:rsidR="00B026E0" w:rsidRPr="00851F80" w:rsidRDefault="00B026E0" w:rsidP="00EF5F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</w:pPr>
            <w:r w:rsidRPr="00851F80">
              <w:rPr>
                <w:rFonts w:ascii="Calibri" w:hAnsi="Calibri" w:cs="Calibri"/>
                <w:color w:val="000000"/>
                <w:sz w:val="22"/>
                <w:szCs w:val="22"/>
                <w:lang w:val="en-NZ" w:eastAsia="zh-CN"/>
              </w:rPr>
              <w:t>32.25</w:t>
            </w:r>
          </w:p>
        </w:tc>
      </w:tr>
    </w:tbl>
    <w:p w14:paraId="21EE31BA" w14:textId="77777777" w:rsidR="00B026E0" w:rsidRDefault="00B026E0" w:rsidP="00B026E0">
      <w:pPr>
        <w:rPr>
          <w:rFonts w:ascii="Arial" w:hAnsi="Arial" w:cs="Arial"/>
          <w:b/>
          <w:sz w:val="22"/>
          <w:szCs w:val="22"/>
        </w:rPr>
      </w:pPr>
    </w:p>
    <w:p w14:paraId="0D5C2C30" w14:textId="77777777" w:rsidR="00B026E0" w:rsidRDefault="00B026E0" w:rsidP="00B026E0">
      <w:pPr>
        <w:rPr>
          <w:rFonts w:ascii="Arial" w:hAnsi="Arial" w:cs="Arial"/>
          <w:b/>
        </w:rPr>
      </w:pPr>
    </w:p>
    <w:p w14:paraId="2417E736" w14:textId="77777777" w:rsidR="00B026E0" w:rsidRDefault="00B026E0" w:rsidP="00B026E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556E8C1" w14:textId="7A7AB715" w:rsidR="00A174CC" w:rsidRPr="00B026E0" w:rsidRDefault="00B026E0">
      <w:pPr>
        <w:rPr>
          <w:rFonts w:ascii="Arial" w:hAnsi="Arial" w:cs="Arial"/>
          <w:color w:val="0000FF"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t>Tang</w:t>
      </w:r>
      <w:r w:rsidRPr="00F92BB1">
        <w:rPr>
          <w:rFonts w:ascii="Arial" w:hAnsi="Arial" w:cs="Arial"/>
          <w:sz w:val="20"/>
          <w:lang w:val="en-NZ"/>
        </w:rPr>
        <w:t xml:space="preserve"> J, </w:t>
      </w:r>
      <w:proofErr w:type="spellStart"/>
      <w:r w:rsidRPr="009A2C5D">
        <w:rPr>
          <w:rFonts w:ascii="Calibri" w:eastAsia="SimSun" w:hAnsi="Calibri" w:cs="Calibri"/>
          <w:sz w:val="22"/>
          <w:szCs w:val="22"/>
          <w:lang w:val="en-NZ" w:eastAsia="zh-CN"/>
        </w:rPr>
        <w:t>Delmiglio</w:t>
      </w:r>
      <w:proofErr w:type="spellEnd"/>
      <w:r w:rsidRPr="00F92BB1">
        <w:rPr>
          <w:rFonts w:ascii="Arial" w:hAnsi="Arial" w:cs="Arial"/>
          <w:sz w:val="20"/>
          <w:lang w:val="en-NZ"/>
        </w:rPr>
        <w:t xml:space="preserve"> </w:t>
      </w:r>
      <w:r>
        <w:rPr>
          <w:rFonts w:ascii="Arial" w:hAnsi="Arial" w:cs="Arial"/>
          <w:sz w:val="20"/>
          <w:lang w:val="en-NZ"/>
        </w:rPr>
        <w:t>C</w:t>
      </w:r>
      <w:r w:rsidRPr="00F92BB1">
        <w:rPr>
          <w:rFonts w:ascii="Arial" w:hAnsi="Arial" w:cs="Arial"/>
          <w:sz w:val="20"/>
          <w:lang w:val="en-NZ"/>
        </w:rPr>
        <w:t xml:space="preserve">, </w:t>
      </w:r>
      <w:r>
        <w:rPr>
          <w:rFonts w:ascii="Arial" w:hAnsi="Arial" w:cs="Arial"/>
          <w:sz w:val="20"/>
          <w:lang w:val="en-NZ"/>
        </w:rPr>
        <w:t>Ward</w:t>
      </w:r>
      <w:r w:rsidRPr="00F92BB1">
        <w:rPr>
          <w:rFonts w:ascii="Arial" w:hAnsi="Arial" w:cs="Arial"/>
          <w:sz w:val="20"/>
          <w:lang w:val="en-NZ"/>
        </w:rPr>
        <w:t xml:space="preserve"> </w:t>
      </w:r>
      <w:r>
        <w:rPr>
          <w:rFonts w:ascii="Arial" w:hAnsi="Arial" w:cs="Arial"/>
          <w:sz w:val="20"/>
          <w:lang w:val="en-NZ"/>
        </w:rPr>
        <w:t>L, Thompson J</w:t>
      </w:r>
      <w:r w:rsidRPr="00F92BB1">
        <w:rPr>
          <w:rFonts w:ascii="Arial" w:hAnsi="Arial" w:cs="Arial"/>
          <w:sz w:val="20"/>
          <w:lang w:val="en-NZ"/>
        </w:rPr>
        <w:t xml:space="preserve"> (20</w:t>
      </w:r>
      <w:r>
        <w:rPr>
          <w:rFonts w:ascii="Arial" w:hAnsi="Arial" w:cs="Arial"/>
          <w:sz w:val="20"/>
          <w:lang w:val="en-NZ"/>
        </w:rPr>
        <w:t>22</w:t>
      </w:r>
      <w:r w:rsidRPr="00F92BB1">
        <w:rPr>
          <w:rFonts w:ascii="Arial" w:hAnsi="Arial" w:cs="Arial"/>
          <w:sz w:val="20"/>
          <w:lang w:val="en-NZ"/>
        </w:rPr>
        <w:t xml:space="preserve">) </w:t>
      </w:r>
      <w:r w:rsidRPr="009A2C5D">
        <w:rPr>
          <w:rFonts w:ascii="Calibri" w:eastAsia="SimSun" w:hAnsi="Calibri" w:cs="Calibri"/>
          <w:bCs/>
          <w:sz w:val="22"/>
          <w:szCs w:val="22"/>
          <w:lang w:val="en-NZ" w:eastAsia="zh-CN"/>
        </w:rPr>
        <w:t xml:space="preserve">Complete nucleotide sequence of sweetbriar rose curly-top associated virus, a tentative member of the genus </w:t>
      </w:r>
      <w:proofErr w:type="spellStart"/>
      <w:r w:rsidRPr="009A2C5D">
        <w:rPr>
          <w:rFonts w:ascii="Calibri" w:eastAsia="SimSun" w:hAnsi="Calibri" w:cs="Calibri"/>
          <w:bCs/>
          <w:i/>
          <w:iCs/>
          <w:sz w:val="22"/>
          <w:szCs w:val="22"/>
          <w:lang w:val="en-NZ" w:eastAsia="zh-CN"/>
        </w:rPr>
        <w:t>Waikavirus</w:t>
      </w:r>
      <w:proofErr w:type="spellEnd"/>
      <w:r>
        <w:rPr>
          <w:rFonts w:ascii="Calibri" w:eastAsia="SimSun" w:hAnsi="Calibri" w:cs="Calibri"/>
          <w:bCs/>
          <w:sz w:val="22"/>
          <w:szCs w:val="22"/>
          <w:lang w:val="en-NZ" w:eastAsia="zh-CN"/>
        </w:rPr>
        <w:t>.</w:t>
      </w:r>
      <w:r>
        <w:rPr>
          <w:rFonts w:ascii="Calibri" w:eastAsia="SimSun" w:hAnsi="Calibri" w:cs="Calibri"/>
          <w:bCs/>
          <w:i/>
          <w:iCs/>
          <w:sz w:val="22"/>
          <w:szCs w:val="22"/>
          <w:lang w:val="en-NZ" w:eastAsia="zh-CN"/>
        </w:rPr>
        <w:t xml:space="preserve"> </w:t>
      </w:r>
      <w:r w:rsidRPr="00F92BB1">
        <w:rPr>
          <w:rFonts w:ascii="Arial" w:hAnsi="Arial" w:cs="Arial"/>
          <w:sz w:val="20"/>
          <w:lang w:val="en-NZ"/>
        </w:rPr>
        <w:t xml:space="preserve">Arch </w:t>
      </w:r>
      <w:proofErr w:type="spellStart"/>
      <w:r w:rsidRPr="00F92BB1">
        <w:rPr>
          <w:rFonts w:ascii="Arial" w:hAnsi="Arial" w:cs="Arial"/>
          <w:sz w:val="20"/>
          <w:lang w:val="en-NZ"/>
        </w:rPr>
        <w:t>Virol</w:t>
      </w:r>
      <w:proofErr w:type="spellEnd"/>
      <w:r>
        <w:rPr>
          <w:rFonts w:ascii="Arial" w:hAnsi="Arial" w:cs="Arial"/>
          <w:sz w:val="20"/>
          <w:lang w:val="en-NZ"/>
        </w:rPr>
        <w:t xml:space="preserve"> </w:t>
      </w:r>
      <w:r w:rsidRPr="004B6796">
        <w:rPr>
          <w:rFonts w:ascii="Arial" w:hAnsi="Arial" w:cs="Arial"/>
          <w:color w:val="0000FF"/>
          <w:sz w:val="20"/>
          <w:szCs w:val="20"/>
          <w:u w:val="single"/>
          <w:lang w:val="en-NZ"/>
        </w:rPr>
        <w:t>https://doi.org/10.1007/s00705-021-05337-y</w:t>
      </w:r>
    </w:p>
    <w:sectPr w:rsidR="00A174CC" w:rsidRPr="00B026E0">
      <w:headerReference w:type="default" r:id="rId11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D5F2" w14:textId="77777777" w:rsidR="001D2D0D" w:rsidRDefault="001D2D0D">
      <w:r>
        <w:separator/>
      </w:r>
    </w:p>
  </w:endnote>
  <w:endnote w:type="continuationSeparator" w:id="0">
    <w:p w14:paraId="0CEEE912" w14:textId="77777777" w:rsidR="001D2D0D" w:rsidRDefault="001D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2A56" w14:textId="77777777" w:rsidR="001D2D0D" w:rsidRDefault="001D2D0D">
      <w:r>
        <w:separator/>
      </w:r>
    </w:p>
  </w:footnote>
  <w:footnote w:type="continuationSeparator" w:id="0">
    <w:p w14:paraId="5FE571B9" w14:textId="77777777" w:rsidR="001D2D0D" w:rsidRDefault="001D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92367457">
    <w:abstractNumId w:val="0"/>
  </w:num>
  <w:num w:numId="2" w16cid:durableId="145675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227A2"/>
    <w:rsid w:val="00035A87"/>
    <w:rsid w:val="00080DD7"/>
    <w:rsid w:val="000A146A"/>
    <w:rsid w:val="000B3A5F"/>
    <w:rsid w:val="000B51D4"/>
    <w:rsid w:val="000F51F4"/>
    <w:rsid w:val="000F7067"/>
    <w:rsid w:val="0013113D"/>
    <w:rsid w:val="001B193D"/>
    <w:rsid w:val="001D2D0D"/>
    <w:rsid w:val="001E63B4"/>
    <w:rsid w:val="002075A4"/>
    <w:rsid w:val="00243958"/>
    <w:rsid w:val="00263ABC"/>
    <w:rsid w:val="0037243A"/>
    <w:rsid w:val="0040361F"/>
    <w:rsid w:val="00410398"/>
    <w:rsid w:val="0043110C"/>
    <w:rsid w:val="00466647"/>
    <w:rsid w:val="00473717"/>
    <w:rsid w:val="004E6407"/>
    <w:rsid w:val="004F3196"/>
    <w:rsid w:val="00533833"/>
    <w:rsid w:val="00543F86"/>
    <w:rsid w:val="005A54C3"/>
    <w:rsid w:val="00683CA7"/>
    <w:rsid w:val="007372F2"/>
    <w:rsid w:val="007B3113"/>
    <w:rsid w:val="007E1B25"/>
    <w:rsid w:val="00802116"/>
    <w:rsid w:val="008075DB"/>
    <w:rsid w:val="00872489"/>
    <w:rsid w:val="008815EE"/>
    <w:rsid w:val="008E6CCC"/>
    <w:rsid w:val="00936EB9"/>
    <w:rsid w:val="00960543"/>
    <w:rsid w:val="009A4007"/>
    <w:rsid w:val="009C5E34"/>
    <w:rsid w:val="009C7C11"/>
    <w:rsid w:val="00A174CC"/>
    <w:rsid w:val="00A2357C"/>
    <w:rsid w:val="00A85F8A"/>
    <w:rsid w:val="00AC0590"/>
    <w:rsid w:val="00AD759B"/>
    <w:rsid w:val="00AE3937"/>
    <w:rsid w:val="00B026E0"/>
    <w:rsid w:val="00B2116F"/>
    <w:rsid w:val="00B35CC8"/>
    <w:rsid w:val="00B47589"/>
    <w:rsid w:val="00B51A18"/>
    <w:rsid w:val="00BD0372"/>
    <w:rsid w:val="00C86F14"/>
    <w:rsid w:val="00C94D54"/>
    <w:rsid w:val="00CC24FD"/>
    <w:rsid w:val="00E5567D"/>
    <w:rsid w:val="00F8718D"/>
    <w:rsid w:val="00F92519"/>
    <w:rsid w:val="00FF01D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1B19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5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B51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3A5F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590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59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ward@rh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Peter Walker</cp:lastModifiedBy>
  <cp:revision>3</cp:revision>
  <dcterms:created xsi:type="dcterms:W3CDTF">2022-05-30T07:20:00Z</dcterms:created>
  <dcterms:modified xsi:type="dcterms:W3CDTF">2022-05-31T06:13:00Z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db064b5-5911-4077-b076-dd8db707b7e6_Enabled">
    <vt:lpwstr>true</vt:lpwstr>
  </property>
  <property fmtid="{D5CDD505-2E9C-101B-9397-08002B2CF9AE}" pid="9" name="MSIP_Label_adb064b5-5911-4077-b076-dd8db707b7e6_SetDate">
    <vt:lpwstr>2022-05-31T06:08:04Z</vt:lpwstr>
  </property>
  <property fmtid="{D5CDD505-2E9C-101B-9397-08002B2CF9AE}" pid="10" name="MSIP_Label_adb064b5-5911-4077-b076-dd8db707b7e6_Method">
    <vt:lpwstr>Privileged</vt:lpwstr>
  </property>
  <property fmtid="{D5CDD505-2E9C-101B-9397-08002B2CF9AE}" pid="11" name="MSIP_Label_adb064b5-5911-4077-b076-dd8db707b7e6_Name">
    <vt:lpwstr>UNOFFICIAL</vt:lpwstr>
  </property>
  <property fmtid="{D5CDD505-2E9C-101B-9397-08002B2CF9AE}" pid="12" name="MSIP_Label_adb064b5-5911-4077-b076-dd8db707b7e6_SiteId">
    <vt:lpwstr>b6e377cf-9db3-46cb-91a2-fad9605bb15c</vt:lpwstr>
  </property>
  <property fmtid="{D5CDD505-2E9C-101B-9397-08002B2CF9AE}" pid="13" name="MSIP_Label_adb064b5-5911-4077-b076-dd8db707b7e6_ActionId">
    <vt:lpwstr>ec93b86d-0d2a-485d-acfc-c63914fd5345</vt:lpwstr>
  </property>
  <property fmtid="{D5CDD505-2E9C-101B-9397-08002B2CF9AE}" pid="14" name="MSIP_Label_adb064b5-5911-4077-b076-dd8db707b7e6_ContentBits">
    <vt:lpwstr>0</vt:lpwstr>
  </property>
</Properties>
</file>