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480F3" w14:textId="77777777" w:rsidR="002F7B43" w:rsidRDefault="00C76170">
      <w:pPr>
        <w:rPr>
          <w:rFonts w:ascii="Aptos" w:hAnsi="Aptos"/>
        </w:rPr>
      </w:pPr>
      <w:r>
        <w:rPr>
          <w:noProof/>
        </w:rPr>
        <w:drawing>
          <wp:anchor distT="0" distB="0" distL="114300" distR="114300" simplePos="0" relativeHeight="17" behindDoc="0" locked="0" layoutInCell="0" allowOverlap="1" wp14:anchorId="6EF122A8" wp14:editId="33CB7746">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79E3B0B5" w14:textId="77777777" w:rsidR="002F7B43" w:rsidRDefault="002F7B43">
      <w:pPr>
        <w:rPr>
          <w:rFonts w:ascii="Aptos" w:hAnsi="Aptos" w:cs="Arial"/>
          <w:color w:val="0000FF"/>
          <w:sz w:val="20"/>
          <w:szCs w:val="20"/>
        </w:rPr>
      </w:pPr>
    </w:p>
    <w:p w14:paraId="2EFF0611" w14:textId="77777777" w:rsidR="002F7B43" w:rsidRDefault="002F7B43">
      <w:pPr>
        <w:rPr>
          <w:rFonts w:ascii="Aptos" w:hAnsi="Aptos" w:cs="Arial"/>
          <w:color w:val="0000FF"/>
          <w:sz w:val="20"/>
          <w:szCs w:val="20"/>
        </w:rPr>
      </w:pPr>
    </w:p>
    <w:p w14:paraId="08988CD3" w14:textId="77777777" w:rsidR="002F7B43" w:rsidRDefault="002F7B43">
      <w:pPr>
        <w:rPr>
          <w:rFonts w:ascii="Aptos" w:hAnsi="Aptos" w:cs="Arial"/>
          <w:color w:val="0000FF"/>
          <w:sz w:val="20"/>
          <w:szCs w:val="20"/>
        </w:rPr>
      </w:pPr>
    </w:p>
    <w:p w14:paraId="5F5F3B8A" w14:textId="77777777" w:rsidR="002F7B43" w:rsidRDefault="002F7B43">
      <w:pPr>
        <w:rPr>
          <w:rFonts w:ascii="Aptos" w:hAnsi="Aptos" w:cs="Arial"/>
          <w:color w:val="0000FF"/>
          <w:sz w:val="20"/>
          <w:szCs w:val="20"/>
        </w:rPr>
      </w:pPr>
    </w:p>
    <w:p w14:paraId="637C0282" w14:textId="77777777" w:rsidR="002F7B43" w:rsidRDefault="002F7B43">
      <w:pPr>
        <w:rPr>
          <w:rFonts w:ascii="Aptos" w:hAnsi="Aptos" w:cs="Arial"/>
          <w:color w:val="0000FF"/>
          <w:sz w:val="20"/>
          <w:szCs w:val="20"/>
        </w:rPr>
      </w:pPr>
    </w:p>
    <w:p w14:paraId="27792C37" w14:textId="77777777" w:rsidR="002F7B43" w:rsidRDefault="00C76170">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6EA1FE8A" w14:textId="77777777" w:rsidR="002F7B43" w:rsidRDefault="00C76170">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57AED5B0" w14:textId="77777777" w:rsidR="002F7B43" w:rsidRDefault="002F7B43">
      <w:pPr>
        <w:rPr>
          <w:rFonts w:ascii="Aptos SemiBold" w:hAnsi="Aptos SemiBold" w:cs="Arial"/>
          <w:color w:val="0000FF"/>
        </w:rPr>
      </w:pPr>
    </w:p>
    <w:p w14:paraId="6948ADF5" w14:textId="77777777" w:rsidR="002F7B43" w:rsidRDefault="002F7B43">
      <w:pPr>
        <w:rPr>
          <w:rFonts w:ascii="Aptos" w:hAnsi="Aptos" w:cs="Arial"/>
          <w:color w:val="0000FF"/>
          <w:sz w:val="20"/>
          <w:szCs w:val="20"/>
        </w:rPr>
      </w:pPr>
    </w:p>
    <w:p w14:paraId="77E3E868" w14:textId="7448C312" w:rsidR="002F7B43" w:rsidRDefault="00C76170">
      <w:pPr>
        <w:rPr>
          <w:rFonts w:ascii="Aptos" w:hAnsi="Aptos" w:cs="Arial"/>
          <w:b/>
          <w:color w:val="000000"/>
          <w:sz w:val="20"/>
          <w:szCs w:val="20"/>
        </w:rPr>
      </w:pPr>
      <w:hyperlink r:id="rId9"/>
      <w:r>
        <w:rPr>
          <w:rFonts w:ascii="Aptos" w:hAnsi="Aptos" w:cs="Arial"/>
          <w:b/>
          <w:color w:val="000000"/>
          <w:sz w:val="20"/>
          <w:szCs w:val="20"/>
        </w:rPr>
        <w:t>Part 1a: Details of taxonomy proposals</w:t>
      </w:r>
    </w:p>
    <w:p w14:paraId="7D57DC08" w14:textId="77777777" w:rsidR="002F7B43" w:rsidRDefault="002F7B43">
      <w:pPr>
        <w:rPr>
          <w:rFonts w:ascii="Aptos" w:hAnsi="Aptos" w:cs="Arial"/>
          <w:sz w:val="20"/>
          <w:szCs w:val="20"/>
          <w:lang w:val="en-GB"/>
        </w:rPr>
      </w:pPr>
    </w:p>
    <w:tbl>
      <w:tblPr>
        <w:tblW w:w="9224" w:type="dxa"/>
        <w:tblInd w:w="98" w:type="dxa"/>
        <w:tblLayout w:type="fixed"/>
        <w:tblLook w:val="04A0" w:firstRow="1" w:lastRow="0" w:firstColumn="1" w:lastColumn="0" w:noHBand="0" w:noVBand="1"/>
      </w:tblPr>
      <w:tblGrid>
        <w:gridCol w:w="1806"/>
        <w:gridCol w:w="7180"/>
        <w:gridCol w:w="238"/>
      </w:tblGrid>
      <w:tr w:rsidR="002F7B43" w14:paraId="721DC7EE"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A121A8" w14:textId="77777777" w:rsidR="002F7B43" w:rsidRDefault="00C76170">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itle:</w:t>
            </w:r>
          </w:p>
        </w:tc>
        <w:tc>
          <w:tcPr>
            <w:tcW w:w="7180" w:type="dxa"/>
            <w:tcBorders>
              <w:top w:val="single" w:sz="4" w:space="0" w:color="000000"/>
              <w:left w:val="single" w:sz="4" w:space="0" w:color="000000"/>
              <w:bottom w:val="single" w:sz="4" w:space="0" w:color="000000"/>
              <w:right w:val="single" w:sz="4" w:space="0" w:color="000000"/>
            </w:tcBorders>
            <w:vAlign w:val="center"/>
          </w:tcPr>
          <w:p w14:paraId="76950285" w14:textId="77777777" w:rsidR="002F7B43" w:rsidRDefault="00C76170">
            <w:pPr>
              <w:rPr>
                <w:rFonts w:ascii="Aptos" w:hAnsi="Aptos" w:cs="Arial"/>
                <w:color w:val="000000" w:themeColor="text1"/>
                <w:sz w:val="20"/>
              </w:rPr>
            </w:pPr>
            <w:r>
              <w:rPr>
                <w:rFonts w:ascii="Aptos" w:hAnsi="Aptos" w:cs="Arial"/>
                <w:color w:val="000000" w:themeColor="text1"/>
                <w:sz w:val="20"/>
              </w:rPr>
              <w:t xml:space="preserve">Create 1 new family, 1 new genus and 1 new species in the order </w:t>
            </w:r>
            <w:r>
              <w:rPr>
                <w:rFonts w:ascii="Aptos" w:hAnsi="Aptos" w:cs="Arial"/>
                <w:i/>
                <w:iCs/>
                <w:color w:val="000000" w:themeColor="text1"/>
                <w:sz w:val="20"/>
              </w:rPr>
              <w:t>Nidovirales</w:t>
            </w:r>
          </w:p>
        </w:tc>
        <w:tc>
          <w:tcPr>
            <w:tcW w:w="238" w:type="dxa"/>
          </w:tcPr>
          <w:p w14:paraId="4D8E9603" w14:textId="77777777" w:rsidR="002F7B43" w:rsidRDefault="002F7B43"/>
        </w:tc>
      </w:tr>
      <w:tr w:rsidR="002F7B43" w14:paraId="3D8F59F4"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8BE34D" w14:textId="77777777" w:rsidR="002F7B43" w:rsidRDefault="00C76170">
            <w:pPr>
              <w:pStyle w:val="BodyTextIndent"/>
              <w:ind w:left="0" w:firstLine="0"/>
              <w:rPr>
                <w:rFonts w:ascii="Aptos" w:hAnsi="Aptos" w:cs="Arial"/>
                <w:b/>
                <w:i/>
                <w:sz w:val="20"/>
              </w:rPr>
            </w:pPr>
            <w:r>
              <w:rPr>
                <w:rFonts w:ascii="Aptos" w:hAnsi="Aptos" w:cs="Arial"/>
                <w:b/>
                <w:sz w:val="20"/>
              </w:rPr>
              <w:t>Code assigned:</w:t>
            </w:r>
          </w:p>
        </w:tc>
        <w:tc>
          <w:tcPr>
            <w:tcW w:w="7418" w:type="dxa"/>
            <w:gridSpan w:val="2"/>
            <w:tcBorders>
              <w:top w:val="single" w:sz="4" w:space="0" w:color="000000"/>
              <w:left w:val="single" w:sz="4" w:space="0" w:color="000000"/>
              <w:bottom w:val="single" w:sz="4" w:space="0" w:color="000000"/>
              <w:right w:val="single" w:sz="4" w:space="0" w:color="000000"/>
            </w:tcBorders>
          </w:tcPr>
          <w:p w14:paraId="409C0C44" w14:textId="2544A0E9" w:rsidR="002F7B43" w:rsidRPr="00092FB1" w:rsidRDefault="00092FB1">
            <w:pPr>
              <w:pStyle w:val="BodyTextIndent"/>
              <w:ind w:left="0" w:firstLine="0"/>
              <w:rPr>
                <w:rFonts w:ascii="Aptos" w:hAnsi="Aptos" w:cs="Arial"/>
                <w:bCs/>
                <w:iCs/>
                <w:sz w:val="20"/>
              </w:rPr>
            </w:pPr>
            <w:r w:rsidRPr="00092FB1">
              <w:rPr>
                <w:rFonts w:ascii="Aptos" w:hAnsi="Aptos" w:cs="Arial"/>
                <w:bCs/>
                <w:iCs/>
                <w:sz w:val="20"/>
              </w:rPr>
              <w:t>2026.005S.N.v1.Nidovirales_1nfam_1ngen_1nsp</w:t>
            </w:r>
          </w:p>
        </w:tc>
      </w:tr>
    </w:tbl>
    <w:p w14:paraId="3F7AC9E5" w14:textId="77777777" w:rsidR="002F7B43" w:rsidRDefault="002F7B43">
      <w:pPr>
        <w:rPr>
          <w:rFonts w:ascii="Aptos" w:hAnsi="Aptos" w:cs="Arial"/>
          <w:b/>
          <w:color w:val="C00000"/>
          <w:sz w:val="18"/>
          <w:szCs w:val="18"/>
        </w:rPr>
      </w:pPr>
    </w:p>
    <w:tbl>
      <w:tblPr>
        <w:tblStyle w:val="TableGrid"/>
        <w:tblW w:w="9323" w:type="dxa"/>
        <w:tblInd w:w="113" w:type="dxa"/>
        <w:tblLayout w:type="fixed"/>
        <w:tblLook w:val="04A0" w:firstRow="1" w:lastRow="0" w:firstColumn="1" w:lastColumn="0" w:noHBand="0" w:noVBand="1"/>
      </w:tblPr>
      <w:tblGrid>
        <w:gridCol w:w="1831"/>
        <w:gridCol w:w="1418"/>
        <w:gridCol w:w="2837"/>
        <w:gridCol w:w="2131"/>
        <w:gridCol w:w="1106"/>
      </w:tblGrid>
      <w:tr w:rsidR="002F7B43" w14:paraId="7093323F" w14:textId="77777777">
        <w:trPr>
          <w:trHeight w:val="173"/>
        </w:trPr>
        <w:tc>
          <w:tcPr>
            <w:tcW w:w="9323" w:type="dxa"/>
            <w:gridSpan w:val="5"/>
            <w:shd w:val="clear" w:color="auto" w:fill="F2F2F2" w:themeFill="background1" w:themeFillShade="F2"/>
          </w:tcPr>
          <w:p w14:paraId="64A03161" w14:textId="58617472" w:rsidR="002F7B43" w:rsidRDefault="00C76170">
            <w:pPr>
              <w:rPr>
                <w:sz w:val="18"/>
                <w:szCs w:val="18"/>
              </w:rPr>
            </w:pPr>
            <w:r>
              <w:rPr>
                <w:rFonts w:ascii="Aptos" w:hAnsi="Aptos" w:cs="Arial"/>
                <w:b/>
                <w:sz w:val="18"/>
                <w:szCs w:val="18"/>
              </w:rPr>
              <w:t xml:space="preserve">Author(s), affiliation and email address(es):  </w:t>
            </w:r>
          </w:p>
        </w:tc>
      </w:tr>
      <w:tr w:rsidR="002F7B43" w14:paraId="774C8E9C" w14:textId="77777777">
        <w:trPr>
          <w:trHeight w:val="411"/>
        </w:trPr>
        <w:tc>
          <w:tcPr>
            <w:tcW w:w="1831" w:type="dxa"/>
            <w:shd w:val="clear" w:color="auto" w:fill="F2F2F2" w:themeFill="background1" w:themeFillShade="F2"/>
            <w:vAlign w:val="center"/>
          </w:tcPr>
          <w:p w14:paraId="59FB9D30" w14:textId="77777777" w:rsidR="002F7B43" w:rsidRDefault="00C76170">
            <w:pPr>
              <w:rPr>
                <w:sz w:val="18"/>
                <w:szCs w:val="18"/>
              </w:rPr>
            </w:pPr>
            <w:r>
              <w:rPr>
                <w:rFonts w:ascii="Aptos" w:hAnsi="Aptos" w:cs="Arial"/>
                <w:b/>
                <w:sz w:val="18"/>
                <w:szCs w:val="18"/>
              </w:rPr>
              <w:t xml:space="preserve">Given name </w:t>
            </w:r>
            <w:r>
              <w:rPr>
                <w:rFonts w:ascii="Aptos" w:hAnsi="Aptos" w:cs="Arial"/>
                <w:b/>
                <w:sz w:val="18"/>
                <w:szCs w:val="18"/>
              </w:rPr>
              <w:t>(+middle initial(s))</w:t>
            </w:r>
          </w:p>
        </w:tc>
        <w:tc>
          <w:tcPr>
            <w:tcW w:w="1418" w:type="dxa"/>
            <w:shd w:val="clear" w:color="auto" w:fill="F2F2F2" w:themeFill="background1" w:themeFillShade="F2"/>
            <w:vAlign w:val="center"/>
          </w:tcPr>
          <w:p w14:paraId="24CA0F7C" w14:textId="77777777" w:rsidR="002F7B43" w:rsidRDefault="00C76170">
            <w:pPr>
              <w:rPr>
                <w:sz w:val="18"/>
                <w:szCs w:val="18"/>
              </w:rPr>
            </w:pPr>
            <w:r>
              <w:rPr>
                <w:rFonts w:ascii="Aptos" w:hAnsi="Aptos" w:cs="Arial"/>
                <w:b/>
                <w:sz w:val="18"/>
                <w:szCs w:val="18"/>
              </w:rPr>
              <w:t>Surname</w:t>
            </w:r>
          </w:p>
        </w:tc>
        <w:tc>
          <w:tcPr>
            <w:tcW w:w="2837" w:type="dxa"/>
            <w:shd w:val="clear" w:color="auto" w:fill="F2F2F2" w:themeFill="background1" w:themeFillShade="F2"/>
            <w:vAlign w:val="center"/>
          </w:tcPr>
          <w:p w14:paraId="76C0C1BD" w14:textId="1F35325A" w:rsidR="002F7B43" w:rsidRDefault="00C76170">
            <w:pPr>
              <w:rPr>
                <w:sz w:val="18"/>
                <w:szCs w:val="18"/>
              </w:rPr>
            </w:pPr>
            <w:r>
              <w:rPr>
                <w:rFonts w:ascii="Aptos" w:hAnsi="Aptos" w:cs="Arial"/>
                <w:b/>
                <w:sz w:val="18"/>
                <w:szCs w:val="18"/>
              </w:rPr>
              <w:t xml:space="preserve">Affiliation </w:t>
            </w:r>
          </w:p>
        </w:tc>
        <w:tc>
          <w:tcPr>
            <w:tcW w:w="2131" w:type="dxa"/>
            <w:shd w:val="clear" w:color="auto" w:fill="F2F2F2" w:themeFill="background1" w:themeFillShade="F2"/>
            <w:vAlign w:val="center"/>
          </w:tcPr>
          <w:p w14:paraId="5BD56A9E" w14:textId="480045EE" w:rsidR="002F7B43" w:rsidRDefault="00C76170">
            <w:pPr>
              <w:rPr>
                <w:sz w:val="18"/>
                <w:szCs w:val="18"/>
              </w:rPr>
            </w:pPr>
            <w:r>
              <w:rPr>
                <w:rFonts w:ascii="Aptos" w:hAnsi="Aptos" w:cs="Arial"/>
                <w:b/>
                <w:sz w:val="18"/>
                <w:szCs w:val="18"/>
              </w:rPr>
              <w:t xml:space="preserve">Email address </w:t>
            </w:r>
          </w:p>
        </w:tc>
        <w:tc>
          <w:tcPr>
            <w:tcW w:w="1106" w:type="dxa"/>
            <w:shd w:val="clear" w:color="auto" w:fill="F2F2F2" w:themeFill="background1" w:themeFillShade="F2"/>
            <w:vAlign w:val="center"/>
          </w:tcPr>
          <w:p w14:paraId="25680C16" w14:textId="77777777" w:rsidR="002F7B43" w:rsidRDefault="00C76170">
            <w:pPr>
              <w:rPr>
                <w:sz w:val="18"/>
                <w:szCs w:val="18"/>
              </w:rPr>
            </w:pPr>
            <w:r>
              <w:rPr>
                <w:rFonts w:ascii="Aptos" w:hAnsi="Aptos" w:cs="Arial"/>
                <w:b/>
                <w:sz w:val="18"/>
                <w:szCs w:val="18"/>
              </w:rPr>
              <w:t>Corr. author(s)</w:t>
            </w:r>
          </w:p>
          <w:p w14:paraId="23A475EB" w14:textId="020B1B6A" w:rsidR="002F7B43" w:rsidRDefault="002F7B43">
            <w:pPr>
              <w:rPr>
                <w:sz w:val="18"/>
                <w:szCs w:val="18"/>
              </w:rPr>
            </w:pPr>
          </w:p>
        </w:tc>
      </w:tr>
      <w:tr w:rsidR="002F7B43" w14:paraId="5D11AA9F" w14:textId="77777777">
        <w:tc>
          <w:tcPr>
            <w:tcW w:w="1831" w:type="dxa"/>
            <w:shd w:val="clear" w:color="auto" w:fill="FFFFFF" w:themeFill="background1"/>
          </w:tcPr>
          <w:p w14:paraId="4F07F97F" w14:textId="77777777" w:rsidR="002F7B43" w:rsidRDefault="00C76170">
            <w:pPr>
              <w:rPr>
                <w:sz w:val="18"/>
                <w:szCs w:val="18"/>
              </w:rPr>
            </w:pPr>
            <w:r>
              <w:rPr>
                <w:rFonts w:ascii="Aptos" w:hAnsi="Aptos" w:cs="Arial"/>
                <w:bCs/>
                <w:color w:val="000000" w:themeColor="text1"/>
                <w:sz w:val="18"/>
                <w:szCs w:val="18"/>
              </w:rPr>
              <w:t>Dmitry V.</w:t>
            </w:r>
          </w:p>
        </w:tc>
        <w:tc>
          <w:tcPr>
            <w:tcW w:w="1418" w:type="dxa"/>
            <w:shd w:val="clear" w:color="auto" w:fill="FFFFFF" w:themeFill="background1"/>
          </w:tcPr>
          <w:p w14:paraId="7FFB5CAB" w14:textId="77777777" w:rsidR="002F7B43" w:rsidRDefault="00C76170">
            <w:pPr>
              <w:rPr>
                <w:sz w:val="18"/>
                <w:szCs w:val="18"/>
              </w:rPr>
            </w:pPr>
            <w:r>
              <w:rPr>
                <w:rFonts w:ascii="Aptos" w:hAnsi="Aptos" w:cs="Arial"/>
                <w:bCs/>
                <w:color w:val="000000" w:themeColor="text1"/>
                <w:sz w:val="18"/>
                <w:szCs w:val="18"/>
              </w:rPr>
              <w:t>Samborskiy</w:t>
            </w:r>
          </w:p>
        </w:tc>
        <w:tc>
          <w:tcPr>
            <w:tcW w:w="2837" w:type="dxa"/>
            <w:shd w:val="clear" w:color="auto" w:fill="FFFFFF" w:themeFill="background1"/>
          </w:tcPr>
          <w:p w14:paraId="691EFCA9" w14:textId="77777777" w:rsidR="002F7B43" w:rsidRDefault="00C76170">
            <w:pPr>
              <w:rPr>
                <w:sz w:val="18"/>
                <w:szCs w:val="18"/>
              </w:rPr>
            </w:pPr>
            <w:r>
              <w:rPr>
                <w:rFonts w:ascii="Aptos" w:hAnsi="Aptos" w:cs="Arial"/>
                <w:bCs/>
                <w:color w:val="000000" w:themeColor="text1"/>
                <w:sz w:val="18"/>
                <w:szCs w:val="18"/>
              </w:rPr>
              <w:t xml:space="preserve">Belozersky Institute of Physico-Chemical Biology, Lomonosov Moscow State </w:t>
            </w:r>
            <w:r>
              <w:rPr>
                <w:rFonts w:ascii="Aptos" w:hAnsi="Aptos" w:cs="Arial"/>
                <w:bCs/>
                <w:color w:val="000000" w:themeColor="text1"/>
                <w:sz w:val="18"/>
                <w:szCs w:val="18"/>
              </w:rPr>
              <w:t>University, 119992 Moscow, Russia</w:t>
            </w:r>
          </w:p>
        </w:tc>
        <w:tc>
          <w:tcPr>
            <w:tcW w:w="2131" w:type="dxa"/>
            <w:shd w:val="clear" w:color="auto" w:fill="FFFFFF" w:themeFill="background1"/>
          </w:tcPr>
          <w:p w14:paraId="64CFD900" w14:textId="77777777" w:rsidR="002F7B43" w:rsidRDefault="00C76170">
            <w:pPr>
              <w:rPr>
                <w:sz w:val="18"/>
                <w:szCs w:val="18"/>
              </w:rPr>
            </w:pPr>
            <w:r>
              <w:rPr>
                <w:rFonts w:ascii="Aptos" w:hAnsi="Aptos" w:cs="Arial"/>
                <w:bCs/>
                <w:color w:val="000000" w:themeColor="text1"/>
                <w:sz w:val="18"/>
                <w:szCs w:val="18"/>
              </w:rPr>
              <w:t>samborsky_d@fastmail.com</w:t>
            </w:r>
          </w:p>
        </w:tc>
        <w:tc>
          <w:tcPr>
            <w:tcW w:w="1106" w:type="dxa"/>
            <w:shd w:val="clear" w:color="auto" w:fill="FFFFFF" w:themeFill="background1"/>
          </w:tcPr>
          <w:p w14:paraId="14C4CDA3" w14:textId="77777777" w:rsidR="002F7B43" w:rsidRDefault="002F7B43">
            <w:pPr>
              <w:jc w:val="center"/>
              <w:rPr>
                <w:rFonts w:ascii="Aptos" w:hAnsi="Aptos" w:cs="Arial"/>
                <w:bCs/>
                <w:color w:val="000000" w:themeColor="text1"/>
                <w:sz w:val="18"/>
                <w:szCs w:val="18"/>
              </w:rPr>
            </w:pPr>
          </w:p>
        </w:tc>
      </w:tr>
      <w:tr w:rsidR="002F7B43" w14:paraId="1CB17D71" w14:textId="77777777">
        <w:tc>
          <w:tcPr>
            <w:tcW w:w="1831" w:type="dxa"/>
          </w:tcPr>
          <w:p w14:paraId="09CB8FC0"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Bruno</w:t>
            </w:r>
          </w:p>
        </w:tc>
        <w:tc>
          <w:tcPr>
            <w:tcW w:w="1418" w:type="dxa"/>
          </w:tcPr>
          <w:p w14:paraId="61566122"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Canard</w:t>
            </w:r>
          </w:p>
        </w:tc>
        <w:tc>
          <w:tcPr>
            <w:tcW w:w="2837" w:type="dxa"/>
          </w:tcPr>
          <w:p w14:paraId="49D951E2"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Laboratoire Architecture et Fonction des Macromolécules Biologiques</w:t>
            </w:r>
            <w:r>
              <w:rPr>
                <w:rFonts w:ascii="Aptos" w:hAnsi="Aptos" w:cs="Arial"/>
                <w:bCs/>
                <w:color w:val="000000" w:themeColor="text1"/>
                <w:sz w:val="18"/>
                <w:szCs w:val="18"/>
              </w:rPr>
              <w:t xml:space="preserve"> , Aix-Marseille Université and CNRS, Marseille 13009 , France</w:t>
            </w:r>
          </w:p>
        </w:tc>
        <w:tc>
          <w:tcPr>
            <w:tcW w:w="2131" w:type="dxa"/>
          </w:tcPr>
          <w:p w14:paraId="31272099"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bruno.canard@univ-amu.fr</w:t>
            </w:r>
          </w:p>
        </w:tc>
        <w:tc>
          <w:tcPr>
            <w:tcW w:w="1106" w:type="dxa"/>
          </w:tcPr>
          <w:p w14:paraId="451A4AB9" w14:textId="77777777" w:rsidR="002F7B43" w:rsidRDefault="002F7B43">
            <w:pPr>
              <w:jc w:val="center"/>
              <w:rPr>
                <w:rFonts w:ascii="Aptos" w:hAnsi="Aptos" w:cs="Arial"/>
                <w:bCs/>
                <w:color w:val="000000" w:themeColor="text1"/>
                <w:sz w:val="18"/>
                <w:szCs w:val="18"/>
              </w:rPr>
            </w:pPr>
          </w:p>
        </w:tc>
      </w:tr>
      <w:tr w:rsidR="002F7B43" w14:paraId="609147B7" w14:textId="77777777">
        <w:tc>
          <w:tcPr>
            <w:tcW w:w="1831" w:type="dxa"/>
            <w:tcBorders>
              <w:top w:val="nil"/>
            </w:tcBorders>
          </w:tcPr>
          <w:p w14:paraId="6026108C" w14:textId="267AADB5"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Magdalena</w:t>
            </w:r>
          </w:p>
        </w:tc>
        <w:tc>
          <w:tcPr>
            <w:tcW w:w="1418" w:type="dxa"/>
            <w:tcBorders>
              <w:top w:val="nil"/>
            </w:tcBorders>
          </w:tcPr>
          <w:p w14:paraId="2F55A30D"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Dunowska</w:t>
            </w:r>
          </w:p>
        </w:tc>
        <w:tc>
          <w:tcPr>
            <w:tcW w:w="2837" w:type="dxa"/>
            <w:tcBorders>
              <w:top w:val="nil"/>
            </w:tcBorders>
          </w:tcPr>
          <w:p w14:paraId="035CFB8C"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School of Veterinary Science, Massey University, Palmerston North 4410, New Zealand</w:t>
            </w:r>
          </w:p>
        </w:tc>
        <w:tc>
          <w:tcPr>
            <w:tcW w:w="2131" w:type="dxa"/>
            <w:tcBorders>
              <w:top w:val="nil"/>
            </w:tcBorders>
          </w:tcPr>
          <w:p w14:paraId="212AEAD3"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M.Dunowska@massey.ac.nz</w:t>
            </w:r>
          </w:p>
        </w:tc>
        <w:tc>
          <w:tcPr>
            <w:tcW w:w="1106" w:type="dxa"/>
            <w:tcBorders>
              <w:top w:val="nil"/>
            </w:tcBorders>
          </w:tcPr>
          <w:p w14:paraId="067F66A4" w14:textId="77777777" w:rsidR="002F7B43" w:rsidRDefault="002F7B43">
            <w:pPr>
              <w:jc w:val="center"/>
              <w:rPr>
                <w:rFonts w:ascii="Aptos" w:hAnsi="Aptos" w:cs="Arial"/>
                <w:bCs/>
                <w:color w:val="000000" w:themeColor="text1"/>
                <w:sz w:val="18"/>
                <w:szCs w:val="18"/>
              </w:rPr>
            </w:pPr>
          </w:p>
        </w:tc>
      </w:tr>
      <w:tr w:rsidR="002F7B43" w14:paraId="71A639AC" w14:textId="77777777">
        <w:tc>
          <w:tcPr>
            <w:tcW w:w="1831" w:type="dxa"/>
            <w:tcBorders>
              <w:top w:val="nil"/>
            </w:tcBorders>
          </w:tcPr>
          <w:p w14:paraId="407922C7"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Jemma</w:t>
            </w:r>
          </w:p>
        </w:tc>
        <w:tc>
          <w:tcPr>
            <w:tcW w:w="1418" w:type="dxa"/>
            <w:tcBorders>
              <w:top w:val="nil"/>
            </w:tcBorders>
          </w:tcPr>
          <w:p w14:paraId="02380A55"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Geoghegan</w:t>
            </w:r>
          </w:p>
        </w:tc>
        <w:tc>
          <w:tcPr>
            <w:tcW w:w="2837" w:type="dxa"/>
            <w:tcBorders>
              <w:top w:val="nil"/>
            </w:tcBorders>
          </w:tcPr>
          <w:p w14:paraId="3AF110C8"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 xml:space="preserve">Dept of </w:t>
            </w:r>
            <w:r>
              <w:rPr>
                <w:rFonts w:ascii="Aptos" w:hAnsi="Aptos" w:cs="Arial"/>
                <w:bCs/>
                <w:color w:val="000000" w:themeColor="text1"/>
                <w:sz w:val="18"/>
                <w:szCs w:val="18"/>
              </w:rPr>
              <w:t>Microbiology &amp; Immunology,</w:t>
            </w:r>
          </w:p>
          <w:p w14:paraId="4D1DA173"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University of Otago, Dunedin 9016, New Zealand</w:t>
            </w:r>
          </w:p>
        </w:tc>
        <w:tc>
          <w:tcPr>
            <w:tcW w:w="2131" w:type="dxa"/>
            <w:tcBorders>
              <w:top w:val="nil"/>
            </w:tcBorders>
          </w:tcPr>
          <w:p w14:paraId="04C78CA0"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jemma.geoghegan@otago.ac.nz</w:t>
            </w:r>
          </w:p>
        </w:tc>
        <w:tc>
          <w:tcPr>
            <w:tcW w:w="1106" w:type="dxa"/>
            <w:tcBorders>
              <w:top w:val="nil"/>
            </w:tcBorders>
          </w:tcPr>
          <w:p w14:paraId="766A936A" w14:textId="77777777" w:rsidR="002F7B43" w:rsidRDefault="002F7B43">
            <w:pPr>
              <w:jc w:val="center"/>
              <w:rPr>
                <w:rFonts w:ascii="Aptos" w:hAnsi="Aptos" w:cs="Arial"/>
                <w:bCs/>
                <w:color w:val="000000" w:themeColor="text1"/>
                <w:sz w:val="18"/>
                <w:szCs w:val="18"/>
              </w:rPr>
            </w:pPr>
          </w:p>
        </w:tc>
      </w:tr>
      <w:tr w:rsidR="002F7B43" w14:paraId="2033741D" w14:textId="77777777">
        <w:tc>
          <w:tcPr>
            <w:tcW w:w="1831" w:type="dxa"/>
            <w:tcBorders>
              <w:top w:val="nil"/>
            </w:tcBorders>
          </w:tcPr>
          <w:p w14:paraId="10FF788B" w14:textId="77777777" w:rsidR="002F7B43" w:rsidRDefault="00C76170">
            <w:pPr>
              <w:rPr>
                <w:sz w:val="18"/>
                <w:szCs w:val="18"/>
              </w:rPr>
            </w:pPr>
            <w:r>
              <w:rPr>
                <w:rFonts w:ascii="Aptos" w:hAnsi="Aptos" w:cs="Arial"/>
                <w:bCs/>
                <w:color w:val="000000" w:themeColor="text1"/>
                <w:sz w:val="18"/>
                <w:szCs w:val="18"/>
              </w:rPr>
              <w:t>Alexander E.</w:t>
            </w:r>
          </w:p>
        </w:tc>
        <w:tc>
          <w:tcPr>
            <w:tcW w:w="1418" w:type="dxa"/>
            <w:tcBorders>
              <w:top w:val="nil"/>
            </w:tcBorders>
          </w:tcPr>
          <w:p w14:paraId="33C0261E" w14:textId="77777777" w:rsidR="002F7B43" w:rsidRDefault="00C76170">
            <w:pPr>
              <w:rPr>
                <w:sz w:val="18"/>
                <w:szCs w:val="18"/>
              </w:rPr>
            </w:pPr>
            <w:r>
              <w:rPr>
                <w:rFonts w:ascii="Aptos" w:hAnsi="Aptos" w:cs="Arial"/>
                <w:bCs/>
                <w:color w:val="000000" w:themeColor="text1"/>
                <w:sz w:val="18"/>
                <w:szCs w:val="18"/>
              </w:rPr>
              <w:t>Gorbalenya</w:t>
            </w:r>
          </w:p>
        </w:tc>
        <w:tc>
          <w:tcPr>
            <w:tcW w:w="2837" w:type="dxa"/>
            <w:tcBorders>
              <w:top w:val="nil"/>
            </w:tcBorders>
          </w:tcPr>
          <w:p w14:paraId="6D831A86" w14:textId="77777777" w:rsidR="002F7B43" w:rsidRDefault="00C76170">
            <w:pPr>
              <w:rPr>
                <w:sz w:val="18"/>
                <w:szCs w:val="18"/>
              </w:rPr>
            </w:pPr>
            <w:r>
              <w:rPr>
                <w:rFonts w:ascii="Aptos" w:hAnsi="Aptos" w:cs="Arial"/>
                <w:bCs/>
                <w:color w:val="000000" w:themeColor="text1"/>
                <w:sz w:val="18"/>
                <w:szCs w:val="18"/>
              </w:rPr>
              <w:t>Leiden University Center of Infectious Diseases, Leiden University Medical Center, Leiden 2333 ZA, The Netherlands</w:t>
            </w:r>
          </w:p>
        </w:tc>
        <w:tc>
          <w:tcPr>
            <w:tcW w:w="2131" w:type="dxa"/>
            <w:tcBorders>
              <w:top w:val="nil"/>
            </w:tcBorders>
          </w:tcPr>
          <w:p w14:paraId="599D6769" w14:textId="77777777" w:rsidR="002F7B43" w:rsidRDefault="00C76170">
            <w:pPr>
              <w:rPr>
                <w:sz w:val="18"/>
                <w:szCs w:val="18"/>
              </w:rPr>
            </w:pPr>
            <w:r>
              <w:rPr>
                <w:rFonts w:ascii="Arial" w:hAnsi="Arial" w:cs="Arial"/>
                <w:bCs/>
                <w:color w:val="000000" w:themeColor="text1"/>
                <w:sz w:val="18"/>
                <w:szCs w:val="18"/>
              </w:rPr>
              <w:t>a.e.gorbaleny</w:t>
            </w:r>
            <w:r>
              <w:rPr>
                <w:rFonts w:ascii="Arial" w:hAnsi="Arial" w:cs="Arial"/>
                <w:bCs/>
                <w:color w:val="000000" w:themeColor="text1"/>
                <w:sz w:val="18"/>
                <w:szCs w:val="18"/>
              </w:rPr>
              <w:t>a@lumc.nl</w:t>
            </w:r>
          </w:p>
        </w:tc>
        <w:tc>
          <w:tcPr>
            <w:tcW w:w="1106" w:type="dxa"/>
            <w:tcBorders>
              <w:top w:val="nil"/>
            </w:tcBorders>
          </w:tcPr>
          <w:p w14:paraId="0695142B" w14:textId="77777777" w:rsidR="002F7B43" w:rsidRDefault="002F7B43">
            <w:pPr>
              <w:jc w:val="center"/>
              <w:rPr>
                <w:rFonts w:ascii="Aptos" w:hAnsi="Aptos" w:cs="Arial"/>
                <w:bCs/>
                <w:color w:val="000000" w:themeColor="text1"/>
                <w:sz w:val="18"/>
                <w:szCs w:val="18"/>
              </w:rPr>
            </w:pPr>
          </w:p>
        </w:tc>
      </w:tr>
      <w:tr w:rsidR="002F7B43" w14:paraId="0319AF07" w14:textId="77777777">
        <w:tc>
          <w:tcPr>
            <w:tcW w:w="1831" w:type="dxa"/>
            <w:tcBorders>
              <w:top w:val="nil"/>
            </w:tcBorders>
          </w:tcPr>
          <w:p w14:paraId="70FA42BE"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Sandra</w:t>
            </w:r>
          </w:p>
        </w:tc>
        <w:tc>
          <w:tcPr>
            <w:tcW w:w="1418" w:type="dxa"/>
            <w:tcBorders>
              <w:top w:val="nil"/>
            </w:tcBorders>
          </w:tcPr>
          <w:p w14:paraId="4BDF546E"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Junglen</w:t>
            </w:r>
          </w:p>
        </w:tc>
        <w:tc>
          <w:tcPr>
            <w:tcW w:w="2837" w:type="dxa"/>
            <w:tcBorders>
              <w:top w:val="nil"/>
            </w:tcBorders>
          </w:tcPr>
          <w:p w14:paraId="51B6DEE5"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Institute of Virology,</w:t>
            </w:r>
          </w:p>
          <w:p w14:paraId="6F91D659"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Charité Universitätsmedizin Berlin, Berlin 10117, Germany</w:t>
            </w:r>
          </w:p>
        </w:tc>
        <w:tc>
          <w:tcPr>
            <w:tcW w:w="2131" w:type="dxa"/>
            <w:tcBorders>
              <w:top w:val="nil"/>
            </w:tcBorders>
          </w:tcPr>
          <w:p w14:paraId="48D90865"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sandra.junglen@charite.de</w:t>
            </w:r>
          </w:p>
        </w:tc>
        <w:tc>
          <w:tcPr>
            <w:tcW w:w="1106" w:type="dxa"/>
            <w:tcBorders>
              <w:top w:val="nil"/>
            </w:tcBorders>
          </w:tcPr>
          <w:p w14:paraId="4923F278" w14:textId="77777777" w:rsidR="002F7B43" w:rsidRDefault="002F7B43">
            <w:pPr>
              <w:jc w:val="center"/>
              <w:rPr>
                <w:rFonts w:ascii="Aptos" w:hAnsi="Aptos" w:cs="Arial"/>
                <w:bCs/>
                <w:color w:val="000000" w:themeColor="text1"/>
                <w:sz w:val="18"/>
                <w:szCs w:val="18"/>
              </w:rPr>
            </w:pPr>
          </w:p>
        </w:tc>
      </w:tr>
      <w:tr w:rsidR="002F7B43" w14:paraId="5A18988E" w14:textId="77777777">
        <w:tc>
          <w:tcPr>
            <w:tcW w:w="1831" w:type="dxa"/>
            <w:tcBorders>
              <w:top w:val="nil"/>
            </w:tcBorders>
          </w:tcPr>
          <w:p w14:paraId="0B5C5352"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Jens H.</w:t>
            </w:r>
          </w:p>
        </w:tc>
        <w:tc>
          <w:tcPr>
            <w:tcW w:w="1418" w:type="dxa"/>
            <w:tcBorders>
              <w:top w:val="nil"/>
            </w:tcBorders>
          </w:tcPr>
          <w:p w14:paraId="6FF537F8"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Kuhn</w:t>
            </w:r>
          </w:p>
        </w:tc>
        <w:tc>
          <w:tcPr>
            <w:tcW w:w="2837" w:type="dxa"/>
            <w:tcBorders>
              <w:top w:val="nil"/>
            </w:tcBorders>
          </w:tcPr>
          <w:p w14:paraId="2D712B5B"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Independent Researcher</w:t>
            </w:r>
          </w:p>
        </w:tc>
        <w:tc>
          <w:tcPr>
            <w:tcW w:w="2131" w:type="dxa"/>
            <w:tcBorders>
              <w:top w:val="nil"/>
            </w:tcBorders>
          </w:tcPr>
          <w:p w14:paraId="69991FF1" w14:textId="798EC9F1" w:rsidR="002F7B43" w:rsidRDefault="002F7B43">
            <w:pPr>
              <w:rPr>
                <w:rFonts w:ascii="Aptos" w:hAnsi="Aptos" w:cs="Arial"/>
                <w:bCs/>
                <w:color w:val="000000" w:themeColor="text1"/>
                <w:sz w:val="18"/>
                <w:szCs w:val="18"/>
              </w:rPr>
            </w:pPr>
          </w:p>
        </w:tc>
        <w:tc>
          <w:tcPr>
            <w:tcW w:w="1106" w:type="dxa"/>
            <w:tcBorders>
              <w:top w:val="nil"/>
            </w:tcBorders>
          </w:tcPr>
          <w:p w14:paraId="326B513E" w14:textId="77777777" w:rsidR="002F7B43" w:rsidRDefault="002F7B43">
            <w:pPr>
              <w:jc w:val="center"/>
              <w:rPr>
                <w:rFonts w:ascii="Aptos" w:hAnsi="Aptos" w:cs="Arial"/>
                <w:bCs/>
                <w:color w:val="000000" w:themeColor="text1"/>
                <w:sz w:val="18"/>
                <w:szCs w:val="18"/>
              </w:rPr>
            </w:pPr>
          </w:p>
        </w:tc>
      </w:tr>
      <w:tr w:rsidR="002F7B43" w14:paraId="3ABA295C" w14:textId="77777777">
        <w:tc>
          <w:tcPr>
            <w:tcW w:w="1831" w:type="dxa"/>
            <w:tcBorders>
              <w:top w:val="nil"/>
            </w:tcBorders>
          </w:tcPr>
          <w:p w14:paraId="7CA1620A" w14:textId="77777777" w:rsidR="002F7B43" w:rsidRDefault="00C76170">
            <w:pPr>
              <w:rPr>
                <w:sz w:val="18"/>
                <w:szCs w:val="18"/>
              </w:rPr>
            </w:pPr>
            <w:r>
              <w:rPr>
                <w:rFonts w:ascii="Aptos" w:hAnsi="Aptos" w:cs="Arial"/>
                <w:bCs/>
                <w:color w:val="000000" w:themeColor="text1"/>
                <w:sz w:val="18"/>
                <w:szCs w:val="18"/>
              </w:rPr>
              <w:t>Benjamin W.</w:t>
            </w:r>
          </w:p>
        </w:tc>
        <w:tc>
          <w:tcPr>
            <w:tcW w:w="1418" w:type="dxa"/>
            <w:tcBorders>
              <w:top w:val="nil"/>
            </w:tcBorders>
          </w:tcPr>
          <w:p w14:paraId="563B0D65" w14:textId="77777777" w:rsidR="002F7B43" w:rsidRDefault="00C76170">
            <w:pPr>
              <w:rPr>
                <w:sz w:val="18"/>
                <w:szCs w:val="18"/>
              </w:rPr>
            </w:pPr>
            <w:r>
              <w:rPr>
                <w:rFonts w:ascii="Aptos" w:hAnsi="Aptos" w:cs="Arial"/>
                <w:bCs/>
                <w:color w:val="000000" w:themeColor="text1"/>
                <w:sz w:val="18"/>
                <w:szCs w:val="18"/>
              </w:rPr>
              <w:t>Neuman</w:t>
            </w:r>
          </w:p>
        </w:tc>
        <w:tc>
          <w:tcPr>
            <w:tcW w:w="2837" w:type="dxa"/>
            <w:tcBorders>
              <w:top w:val="nil"/>
            </w:tcBorders>
          </w:tcPr>
          <w:p w14:paraId="327DCDF5" w14:textId="77777777" w:rsidR="002F7B43" w:rsidRDefault="00C76170">
            <w:pPr>
              <w:rPr>
                <w:sz w:val="18"/>
                <w:szCs w:val="18"/>
              </w:rPr>
            </w:pPr>
            <w:r>
              <w:rPr>
                <w:rFonts w:ascii="Aptos" w:hAnsi="Aptos" w:cs="Arial"/>
                <w:bCs/>
                <w:color w:val="000000" w:themeColor="text1"/>
                <w:sz w:val="18"/>
                <w:szCs w:val="18"/>
              </w:rPr>
              <w:t xml:space="preserve">Department of Biology, Microbial Pathogenesis &amp; </w:t>
            </w:r>
            <w:r>
              <w:rPr>
                <w:rFonts w:ascii="Aptos" w:hAnsi="Aptos" w:cs="Arial"/>
                <w:bCs/>
                <w:color w:val="000000" w:themeColor="text1"/>
                <w:sz w:val="18"/>
                <w:szCs w:val="18"/>
              </w:rPr>
              <w:t>Immunity, Texas A&amp;M University, College Station, TX 77843, USA</w:t>
            </w:r>
          </w:p>
        </w:tc>
        <w:tc>
          <w:tcPr>
            <w:tcW w:w="2131" w:type="dxa"/>
            <w:tcBorders>
              <w:top w:val="nil"/>
            </w:tcBorders>
          </w:tcPr>
          <w:p w14:paraId="1F5309EC" w14:textId="77777777" w:rsidR="002F7B43" w:rsidRDefault="00C76170">
            <w:pPr>
              <w:rPr>
                <w:sz w:val="18"/>
                <w:szCs w:val="18"/>
              </w:rPr>
            </w:pPr>
            <w:r>
              <w:rPr>
                <w:rFonts w:ascii="Aptos" w:hAnsi="Aptos" w:cs="Arial"/>
                <w:bCs/>
                <w:color w:val="000000" w:themeColor="text1"/>
                <w:sz w:val="18"/>
                <w:szCs w:val="18"/>
              </w:rPr>
              <w:t>bneuman@bio.tamu.edu</w:t>
            </w:r>
          </w:p>
        </w:tc>
        <w:tc>
          <w:tcPr>
            <w:tcW w:w="1106" w:type="dxa"/>
            <w:tcBorders>
              <w:top w:val="nil"/>
            </w:tcBorders>
          </w:tcPr>
          <w:p w14:paraId="4FB05503" w14:textId="77777777" w:rsidR="002F7B43" w:rsidRDefault="002F7B43">
            <w:pPr>
              <w:jc w:val="center"/>
              <w:rPr>
                <w:rFonts w:ascii="Aptos" w:hAnsi="Aptos" w:cs="Arial"/>
                <w:bCs/>
                <w:color w:val="000000" w:themeColor="text1"/>
                <w:sz w:val="18"/>
                <w:szCs w:val="18"/>
              </w:rPr>
            </w:pPr>
          </w:p>
        </w:tc>
      </w:tr>
      <w:tr w:rsidR="002F7B43" w14:paraId="5E071B24" w14:textId="77777777">
        <w:tc>
          <w:tcPr>
            <w:tcW w:w="1831" w:type="dxa"/>
          </w:tcPr>
          <w:p w14:paraId="12D17D06"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Curtis</w:t>
            </w:r>
          </w:p>
        </w:tc>
        <w:tc>
          <w:tcPr>
            <w:tcW w:w="1418" w:type="dxa"/>
          </w:tcPr>
          <w:p w14:paraId="09B6176A"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Suttle</w:t>
            </w:r>
          </w:p>
        </w:tc>
        <w:tc>
          <w:tcPr>
            <w:tcW w:w="2837" w:type="dxa"/>
          </w:tcPr>
          <w:p w14:paraId="29ACF4E2"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 xml:space="preserve">Department of Earth, Ocean, and Atmospheric Sciences, Botany, Microbiology and Immunology, and the Institute for the Oceans and Fisheries, The </w:t>
            </w:r>
            <w:r>
              <w:rPr>
                <w:rFonts w:ascii="Aptos" w:hAnsi="Aptos" w:cs="Arial"/>
                <w:bCs/>
                <w:color w:val="000000" w:themeColor="text1"/>
                <w:sz w:val="18"/>
                <w:szCs w:val="18"/>
              </w:rPr>
              <w:t>University of British Columbia, Vancouver, BC V6T 1Z4, Canada</w:t>
            </w:r>
          </w:p>
        </w:tc>
        <w:tc>
          <w:tcPr>
            <w:tcW w:w="2131" w:type="dxa"/>
          </w:tcPr>
          <w:p w14:paraId="6B3B3E7E"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suttle@science.ubc.ca</w:t>
            </w:r>
          </w:p>
        </w:tc>
        <w:tc>
          <w:tcPr>
            <w:tcW w:w="1106" w:type="dxa"/>
          </w:tcPr>
          <w:p w14:paraId="5AD9510C" w14:textId="77777777" w:rsidR="002F7B43" w:rsidRDefault="002F7B43">
            <w:pPr>
              <w:jc w:val="center"/>
              <w:rPr>
                <w:rFonts w:ascii="Aptos" w:hAnsi="Aptos" w:cs="Arial"/>
                <w:bCs/>
                <w:color w:val="000000" w:themeColor="text1"/>
                <w:sz w:val="18"/>
                <w:szCs w:val="18"/>
              </w:rPr>
            </w:pPr>
          </w:p>
        </w:tc>
      </w:tr>
      <w:tr w:rsidR="002F7B43" w14:paraId="2E33E89A" w14:textId="77777777">
        <w:tc>
          <w:tcPr>
            <w:tcW w:w="1831" w:type="dxa"/>
            <w:tcBorders>
              <w:top w:val="nil"/>
            </w:tcBorders>
          </w:tcPr>
          <w:p w14:paraId="51A90F7D"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Patrick</w:t>
            </w:r>
          </w:p>
        </w:tc>
        <w:tc>
          <w:tcPr>
            <w:tcW w:w="1418" w:type="dxa"/>
            <w:tcBorders>
              <w:top w:val="nil"/>
            </w:tcBorders>
          </w:tcPr>
          <w:p w14:paraId="5DC41F53"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Woo</w:t>
            </w:r>
          </w:p>
        </w:tc>
        <w:tc>
          <w:tcPr>
            <w:tcW w:w="2837" w:type="dxa"/>
            <w:tcBorders>
              <w:top w:val="nil"/>
            </w:tcBorders>
          </w:tcPr>
          <w:p w14:paraId="47F2A917"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Department of Microbiology, The University of Hong Kong, Pokfulam, Hong Kong</w:t>
            </w:r>
          </w:p>
        </w:tc>
        <w:tc>
          <w:tcPr>
            <w:tcW w:w="2131" w:type="dxa"/>
            <w:tcBorders>
              <w:top w:val="nil"/>
            </w:tcBorders>
          </w:tcPr>
          <w:p w14:paraId="434DAD73" w14:textId="77777777" w:rsidR="002F7B43" w:rsidRDefault="00C76170">
            <w:pPr>
              <w:rPr>
                <w:rFonts w:ascii="Aptos" w:hAnsi="Aptos" w:cs="Arial"/>
                <w:bCs/>
                <w:color w:val="000000" w:themeColor="text1"/>
                <w:sz w:val="18"/>
                <w:szCs w:val="18"/>
              </w:rPr>
            </w:pPr>
            <w:r>
              <w:rPr>
                <w:rFonts w:ascii="Aptos" w:hAnsi="Aptos" w:cs="Arial"/>
                <w:bCs/>
                <w:color w:val="000000" w:themeColor="text1"/>
                <w:sz w:val="18"/>
                <w:szCs w:val="18"/>
              </w:rPr>
              <w:t>pcywoo@hku.hk</w:t>
            </w:r>
          </w:p>
        </w:tc>
        <w:tc>
          <w:tcPr>
            <w:tcW w:w="1106" w:type="dxa"/>
            <w:tcBorders>
              <w:top w:val="nil"/>
            </w:tcBorders>
          </w:tcPr>
          <w:p w14:paraId="1603E34E" w14:textId="77777777" w:rsidR="002F7B43" w:rsidRDefault="002F7B43">
            <w:pPr>
              <w:jc w:val="center"/>
              <w:rPr>
                <w:rFonts w:ascii="Aptos" w:hAnsi="Aptos" w:cs="Arial"/>
                <w:bCs/>
                <w:color w:val="000000" w:themeColor="text1"/>
                <w:sz w:val="18"/>
                <w:szCs w:val="18"/>
              </w:rPr>
            </w:pPr>
          </w:p>
        </w:tc>
      </w:tr>
      <w:tr w:rsidR="002F7B43" w14:paraId="35A682FB" w14:textId="77777777">
        <w:tc>
          <w:tcPr>
            <w:tcW w:w="1831" w:type="dxa"/>
            <w:tcBorders>
              <w:top w:val="nil"/>
            </w:tcBorders>
          </w:tcPr>
          <w:p w14:paraId="186F1771" w14:textId="77777777" w:rsidR="002F7B43" w:rsidRDefault="00C76170">
            <w:pPr>
              <w:rPr>
                <w:sz w:val="18"/>
                <w:szCs w:val="18"/>
              </w:rPr>
            </w:pPr>
            <w:r>
              <w:rPr>
                <w:rFonts w:ascii="Aptos" w:hAnsi="Aptos" w:cs="Arial"/>
                <w:bCs/>
                <w:color w:val="000000" w:themeColor="text1"/>
                <w:sz w:val="18"/>
                <w:szCs w:val="18"/>
              </w:rPr>
              <w:t>John</w:t>
            </w:r>
          </w:p>
        </w:tc>
        <w:tc>
          <w:tcPr>
            <w:tcW w:w="1418" w:type="dxa"/>
            <w:tcBorders>
              <w:top w:val="nil"/>
            </w:tcBorders>
          </w:tcPr>
          <w:p w14:paraId="78E30611" w14:textId="77777777" w:rsidR="002F7B43" w:rsidRDefault="00C76170">
            <w:pPr>
              <w:rPr>
                <w:sz w:val="18"/>
                <w:szCs w:val="18"/>
              </w:rPr>
            </w:pPr>
            <w:r>
              <w:rPr>
                <w:rFonts w:ascii="Aptos" w:hAnsi="Aptos" w:cs="Arial"/>
                <w:bCs/>
                <w:color w:val="000000" w:themeColor="text1"/>
                <w:sz w:val="18"/>
                <w:szCs w:val="18"/>
              </w:rPr>
              <w:t>Ziebuhr</w:t>
            </w:r>
          </w:p>
        </w:tc>
        <w:tc>
          <w:tcPr>
            <w:tcW w:w="2837" w:type="dxa"/>
            <w:tcBorders>
              <w:top w:val="nil"/>
            </w:tcBorders>
          </w:tcPr>
          <w:p w14:paraId="386CA6F9" w14:textId="77777777" w:rsidR="002F7B43" w:rsidRDefault="00C76170">
            <w:pPr>
              <w:rPr>
                <w:sz w:val="18"/>
                <w:szCs w:val="18"/>
              </w:rPr>
            </w:pPr>
            <w:r>
              <w:rPr>
                <w:rFonts w:ascii="Aptos" w:hAnsi="Aptos" w:cs="Arial"/>
                <w:bCs/>
                <w:color w:val="000000" w:themeColor="text1"/>
                <w:sz w:val="18"/>
                <w:szCs w:val="18"/>
              </w:rPr>
              <w:t xml:space="preserve">Institute of Medical Virology, Justus Liebig </w:t>
            </w:r>
            <w:r>
              <w:rPr>
                <w:rFonts w:ascii="Aptos" w:hAnsi="Aptos" w:cs="Arial"/>
                <w:bCs/>
                <w:color w:val="000000" w:themeColor="text1"/>
                <w:sz w:val="18"/>
                <w:szCs w:val="18"/>
              </w:rPr>
              <w:t>University Giessen, Giessen 35392, Germany</w:t>
            </w:r>
          </w:p>
        </w:tc>
        <w:tc>
          <w:tcPr>
            <w:tcW w:w="2131" w:type="dxa"/>
            <w:tcBorders>
              <w:top w:val="nil"/>
            </w:tcBorders>
          </w:tcPr>
          <w:p w14:paraId="3B4E6E68" w14:textId="77777777" w:rsidR="002F7B43" w:rsidRDefault="00C76170">
            <w:pPr>
              <w:rPr>
                <w:sz w:val="18"/>
                <w:szCs w:val="18"/>
              </w:rPr>
            </w:pPr>
            <w:r>
              <w:rPr>
                <w:rFonts w:ascii="Aptos" w:hAnsi="Aptos" w:cs="Arial"/>
                <w:bCs/>
                <w:color w:val="000000" w:themeColor="text1"/>
                <w:sz w:val="18"/>
                <w:szCs w:val="18"/>
              </w:rPr>
              <w:t>john.ziebuhr@viro.med.uni-giessen.de</w:t>
            </w:r>
          </w:p>
        </w:tc>
        <w:tc>
          <w:tcPr>
            <w:tcW w:w="1106" w:type="dxa"/>
            <w:tcBorders>
              <w:top w:val="nil"/>
            </w:tcBorders>
          </w:tcPr>
          <w:p w14:paraId="4AEE5E5A" w14:textId="77777777" w:rsidR="002F7B43" w:rsidRDefault="002F7B43">
            <w:pPr>
              <w:jc w:val="center"/>
              <w:rPr>
                <w:rFonts w:ascii="Aptos" w:hAnsi="Aptos" w:cs="Arial"/>
                <w:bCs/>
                <w:color w:val="000000" w:themeColor="text1"/>
                <w:sz w:val="18"/>
                <w:szCs w:val="18"/>
              </w:rPr>
            </w:pPr>
          </w:p>
        </w:tc>
      </w:tr>
      <w:tr w:rsidR="002F7B43" w14:paraId="69DC8734" w14:textId="77777777">
        <w:tc>
          <w:tcPr>
            <w:tcW w:w="1831" w:type="dxa"/>
          </w:tcPr>
          <w:p w14:paraId="4FFB9A52" w14:textId="77777777" w:rsidR="002F7B43" w:rsidRDefault="00C76170">
            <w:pPr>
              <w:rPr>
                <w:sz w:val="18"/>
                <w:szCs w:val="18"/>
              </w:rPr>
            </w:pPr>
            <w:r>
              <w:rPr>
                <w:rFonts w:ascii="Aptos" w:hAnsi="Aptos" w:cs="Arial"/>
                <w:bCs/>
                <w:color w:val="000000" w:themeColor="text1"/>
                <w:sz w:val="18"/>
                <w:szCs w:val="18"/>
              </w:rPr>
              <w:t>Chris</w:t>
            </w:r>
          </w:p>
        </w:tc>
        <w:tc>
          <w:tcPr>
            <w:tcW w:w="1418" w:type="dxa"/>
          </w:tcPr>
          <w:p w14:paraId="025C0C0B" w14:textId="77777777" w:rsidR="002F7B43" w:rsidRDefault="00C76170">
            <w:pPr>
              <w:rPr>
                <w:sz w:val="18"/>
                <w:szCs w:val="18"/>
              </w:rPr>
            </w:pPr>
            <w:r>
              <w:rPr>
                <w:rFonts w:ascii="Aptos" w:hAnsi="Aptos" w:cs="Arial"/>
                <w:bCs/>
                <w:color w:val="000000" w:themeColor="text1"/>
                <w:sz w:val="18"/>
                <w:szCs w:val="18"/>
              </w:rPr>
              <w:t>Lauber</w:t>
            </w:r>
          </w:p>
        </w:tc>
        <w:tc>
          <w:tcPr>
            <w:tcW w:w="2837" w:type="dxa"/>
          </w:tcPr>
          <w:p w14:paraId="2046A3B7" w14:textId="77777777" w:rsidR="002F7B43" w:rsidRDefault="00C76170">
            <w:pPr>
              <w:rPr>
                <w:sz w:val="18"/>
                <w:szCs w:val="18"/>
              </w:rPr>
            </w:pPr>
            <w:r>
              <w:rPr>
                <w:rFonts w:ascii="Aptos" w:hAnsi="Aptos" w:cs="Arial"/>
                <w:bCs/>
                <w:color w:val="000000" w:themeColor="text1"/>
                <w:sz w:val="18"/>
                <w:szCs w:val="18"/>
              </w:rPr>
              <w:t xml:space="preserve">Institute for Experimental Virology, TWINCORE Centre for </w:t>
            </w:r>
            <w:r>
              <w:rPr>
                <w:rFonts w:ascii="Aptos" w:hAnsi="Aptos" w:cs="Arial"/>
                <w:bCs/>
                <w:color w:val="000000" w:themeColor="text1"/>
                <w:sz w:val="18"/>
                <w:szCs w:val="18"/>
              </w:rPr>
              <w:lastRenderedPageBreak/>
              <w:t>Experimental and Clinical Infection Research, a Joint Venture between the Hannover Medical School and th</w:t>
            </w:r>
            <w:r>
              <w:rPr>
                <w:rFonts w:ascii="Aptos" w:hAnsi="Aptos" w:cs="Arial"/>
                <w:bCs/>
                <w:color w:val="000000" w:themeColor="text1"/>
                <w:sz w:val="18"/>
                <w:szCs w:val="18"/>
              </w:rPr>
              <w:t>e Helmholtz Centre for Infection Research, Hannover 30625, Germany</w:t>
            </w:r>
          </w:p>
        </w:tc>
        <w:tc>
          <w:tcPr>
            <w:tcW w:w="2131" w:type="dxa"/>
          </w:tcPr>
          <w:p w14:paraId="51037348" w14:textId="77777777" w:rsidR="002F7B43" w:rsidRDefault="00C76170">
            <w:pPr>
              <w:rPr>
                <w:sz w:val="18"/>
                <w:szCs w:val="18"/>
              </w:rPr>
            </w:pPr>
            <w:r>
              <w:rPr>
                <w:rFonts w:ascii="Aptos" w:hAnsi="Aptos" w:cs="Arial"/>
                <w:bCs/>
                <w:color w:val="000000" w:themeColor="text1"/>
                <w:sz w:val="18"/>
                <w:szCs w:val="18"/>
              </w:rPr>
              <w:lastRenderedPageBreak/>
              <w:t>chris.lauber@twincore.de</w:t>
            </w:r>
          </w:p>
        </w:tc>
        <w:tc>
          <w:tcPr>
            <w:tcW w:w="1106" w:type="dxa"/>
          </w:tcPr>
          <w:p w14:paraId="0C6A6CCC" w14:textId="77777777" w:rsidR="002F7B43" w:rsidRDefault="00C76170">
            <w:pPr>
              <w:jc w:val="center"/>
              <w:rPr>
                <w:sz w:val="18"/>
                <w:szCs w:val="18"/>
              </w:rPr>
            </w:pPr>
            <w:r>
              <w:rPr>
                <w:rFonts w:ascii="Aptos" w:hAnsi="Aptos" w:cs="Arial"/>
                <w:bCs/>
                <w:color w:val="000000" w:themeColor="text1"/>
                <w:sz w:val="18"/>
                <w:szCs w:val="18"/>
              </w:rPr>
              <w:t>x</w:t>
            </w:r>
          </w:p>
        </w:tc>
      </w:tr>
    </w:tbl>
    <w:p w14:paraId="4C3BBF77" w14:textId="77777777" w:rsidR="002F7B43" w:rsidRDefault="002F7B43">
      <w:pPr>
        <w:rPr>
          <w:rFonts w:ascii="Aptos" w:hAnsi="Aptos" w:cs="Arial"/>
          <w:b/>
          <w:sz w:val="18"/>
          <w:szCs w:val="18"/>
        </w:rPr>
      </w:pPr>
    </w:p>
    <w:p w14:paraId="2B2D0F73" w14:textId="77777777" w:rsidR="002F7B43" w:rsidRDefault="00C76170">
      <w:pPr>
        <w:rPr>
          <w:rFonts w:ascii="Aptos" w:eastAsia="Times" w:hAnsi="Aptos" w:cs="Arial"/>
          <w:b/>
          <w:color w:val="000000"/>
          <w:sz w:val="20"/>
          <w:szCs w:val="20"/>
          <w:lang w:eastAsia="en-GB"/>
        </w:rPr>
      </w:pPr>
      <w:r>
        <w:br w:type="page"/>
      </w:r>
    </w:p>
    <w:p w14:paraId="7AB672BC" w14:textId="3C47EC9E" w:rsidR="002F7B43" w:rsidRDefault="00C76170">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108" w:type="dxa"/>
        <w:tblLayout w:type="fixed"/>
        <w:tblLook w:val="04A0" w:firstRow="1" w:lastRow="0" w:firstColumn="1" w:lastColumn="0" w:noHBand="0" w:noVBand="1"/>
      </w:tblPr>
      <w:tblGrid>
        <w:gridCol w:w="3971"/>
        <w:gridCol w:w="285"/>
        <w:gridCol w:w="3925"/>
        <w:gridCol w:w="324"/>
      </w:tblGrid>
      <w:tr w:rsidR="002F7B43" w14:paraId="2D93AF02" w14:textId="77777777">
        <w:tc>
          <w:tcPr>
            <w:tcW w:w="8504" w:type="dxa"/>
            <w:gridSpan w:val="4"/>
            <w:shd w:val="clear" w:color="auto" w:fill="F2F2F2" w:themeFill="background1" w:themeFillShade="F2"/>
          </w:tcPr>
          <w:p w14:paraId="445C8CD5" w14:textId="53ABBC89" w:rsidR="002F7B43" w:rsidRDefault="00C76170">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2F7B43" w14:paraId="4EFD6CB5" w14:textId="77777777">
        <w:tc>
          <w:tcPr>
            <w:tcW w:w="3970" w:type="dxa"/>
          </w:tcPr>
          <w:p w14:paraId="15AD9B39"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5" w:type="dxa"/>
          </w:tcPr>
          <w:p w14:paraId="402895BA" w14:textId="77777777" w:rsidR="002F7B43" w:rsidRDefault="002F7B43">
            <w:pPr>
              <w:rPr>
                <w:rFonts w:ascii="Aptos" w:eastAsia="Times" w:hAnsi="Aptos" w:cs="Arial"/>
                <w:b/>
                <w:color w:val="000000"/>
                <w:sz w:val="20"/>
                <w:szCs w:val="20"/>
                <w:lang w:eastAsia="en-GB"/>
              </w:rPr>
            </w:pPr>
          </w:p>
        </w:tc>
        <w:tc>
          <w:tcPr>
            <w:tcW w:w="3925" w:type="dxa"/>
          </w:tcPr>
          <w:p w14:paraId="7004C700"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4" w:type="dxa"/>
          </w:tcPr>
          <w:p w14:paraId="02534151" w14:textId="77777777" w:rsidR="002F7B43" w:rsidRDefault="002F7B43">
            <w:pPr>
              <w:rPr>
                <w:rFonts w:ascii="Aptos" w:eastAsia="Times" w:hAnsi="Aptos" w:cs="Arial"/>
                <w:b/>
                <w:color w:val="000000"/>
                <w:sz w:val="20"/>
                <w:szCs w:val="20"/>
                <w:lang w:eastAsia="en-GB"/>
              </w:rPr>
            </w:pPr>
          </w:p>
        </w:tc>
      </w:tr>
      <w:tr w:rsidR="002F7B43" w14:paraId="5B4AFD17" w14:textId="77777777">
        <w:tc>
          <w:tcPr>
            <w:tcW w:w="3970" w:type="dxa"/>
          </w:tcPr>
          <w:p w14:paraId="6B404301"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5" w:type="dxa"/>
          </w:tcPr>
          <w:p w14:paraId="1B5779BF" w14:textId="77777777" w:rsidR="002F7B43" w:rsidRDefault="002F7B43">
            <w:pPr>
              <w:rPr>
                <w:rFonts w:ascii="Aptos" w:eastAsia="Times" w:hAnsi="Aptos" w:cs="Arial"/>
                <w:b/>
                <w:color w:val="000000"/>
                <w:sz w:val="20"/>
                <w:szCs w:val="20"/>
                <w:lang w:eastAsia="en-GB"/>
              </w:rPr>
            </w:pPr>
          </w:p>
        </w:tc>
        <w:tc>
          <w:tcPr>
            <w:tcW w:w="3925" w:type="dxa"/>
          </w:tcPr>
          <w:p w14:paraId="05E65BF2"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4" w:type="dxa"/>
          </w:tcPr>
          <w:p w14:paraId="7162184C" w14:textId="77777777" w:rsidR="002F7B43" w:rsidRDefault="002F7B43">
            <w:pPr>
              <w:rPr>
                <w:rFonts w:ascii="Aptos" w:eastAsia="Times" w:hAnsi="Aptos" w:cs="Arial"/>
                <w:b/>
                <w:color w:val="000000"/>
                <w:sz w:val="20"/>
                <w:szCs w:val="20"/>
                <w:lang w:eastAsia="en-GB"/>
              </w:rPr>
            </w:pPr>
          </w:p>
        </w:tc>
      </w:tr>
      <w:tr w:rsidR="002F7B43" w14:paraId="548B244B" w14:textId="77777777">
        <w:tc>
          <w:tcPr>
            <w:tcW w:w="3970" w:type="dxa"/>
          </w:tcPr>
          <w:p w14:paraId="66DC4155"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5" w:type="dxa"/>
          </w:tcPr>
          <w:p w14:paraId="2AC33BE3" w14:textId="77777777" w:rsidR="002F7B43" w:rsidRDefault="00C76170">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1EDD3D6C"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4" w:type="dxa"/>
          </w:tcPr>
          <w:p w14:paraId="288A166D" w14:textId="77777777" w:rsidR="002F7B43" w:rsidRDefault="002F7B43">
            <w:pPr>
              <w:rPr>
                <w:rFonts w:ascii="Aptos" w:eastAsia="Times" w:hAnsi="Aptos" w:cs="Arial"/>
                <w:b/>
                <w:color w:val="000000"/>
                <w:sz w:val="20"/>
                <w:szCs w:val="20"/>
                <w:lang w:eastAsia="en-GB"/>
              </w:rPr>
            </w:pPr>
          </w:p>
        </w:tc>
      </w:tr>
      <w:tr w:rsidR="002F7B43" w14:paraId="173DD877" w14:textId="77777777">
        <w:tc>
          <w:tcPr>
            <w:tcW w:w="3970" w:type="dxa"/>
          </w:tcPr>
          <w:p w14:paraId="78FC4322"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5" w:type="dxa"/>
          </w:tcPr>
          <w:p w14:paraId="00A87328" w14:textId="77777777" w:rsidR="002F7B43" w:rsidRDefault="002F7B43">
            <w:pPr>
              <w:rPr>
                <w:rFonts w:ascii="Aptos" w:eastAsia="Times" w:hAnsi="Aptos" w:cs="Arial"/>
                <w:b/>
                <w:color w:val="000000"/>
                <w:sz w:val="20"/>
                <w:szCs w:val="20"/>
                <w:lang w:eastAsia="en-GB"/>
              </w:rPr>
            </w:pPr>
          </w:p>
        </w:tc>
        <w:tc>
          <w:tcPr>
            <w:tcW w:w="3925" w:type="dxa"/>
          </w:tcPr>
          <w:p w14:paraId="59566620" w14:textId="1B9DA619"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4" w:type="dxa"/>
          </w:tcPr>
          <w:p w14:paraId="6298B3FD" w14:textId="77777777" w:rsidR="002F7B43" w:rsidRDefault="002F7B43">
            <w:pPr>
              <w:rPr>
                <w:rFonts w:ascii="Aptos" w:eastAsia="Times" w:hAnsi="Aptos" w:cs="Arial"/>
                <w:b/>
                <w:color w:val="000000"/>
                <w:sz w:val="20"/>
                <w:szCs w:val="20"/>
                <w:lang w:eastAsia="en-GB"/>
              </w:rPr>
            </w:pPr>
          </w:p>
        </w:tc>
      </w:tr>
    </w:tbl>
    <w:p w14:paraId="3AA601C1" w14:textId="77777777" w:rsidR="002F7B43" w:rsidRDefault="002F7B43">
      <w:pPr>
        <w:rPr>
          <w:rFonts w:ascii="Aptos" w:eastAsia="Times" w:hAnsi="Aptos" w:cs="Arial"/>
          <w:b/>
          <w:color w:val="000000"/>
          <w:sz w:val="20"/>
          <w:szCs w:val="20"/>
          <w:lang w:eastAsia="en-GB"/>
        </w:rPr>
      </w:pPr>
    </w:p>
    <w:tbl>
      <w:tblPr>
        <w:tblStyle w:val="TableGrid"/>
        <w:tblW w:w="8505" w:type="dxa"/>
        <w:tblInd w:w="108" w:type="dxa"/>
        <w:tblLayout w:type="fixed"/>
        <w:tblLook w:val="04A0" w:firstRow="1" w:lastRow="0" w:firstColumn="1" w:lastColumn="0" w:noHBand="0" w:noVBand="1"/>
      </w:tblPr>
      <w:tblGrid>
        <w:gridCol w:w="8505"/>
      </w:tblGrid>
      <w:tr w:rsidR="002F7B43" w14:paraId="08958676" w14:textId="77777777">
        <w:trPr>
          <w:trHeight w:val="147"/>
        </w:trPr>
        <w:tc>
          <w:tcPr>
            <w:tcW w:w="8505" w:type="dxa"/>
            <w:shd w:val="clear" w:color="auto" w:fill="F2F2F2" w:themeFill="background1" w:themeFillShade="F2"/>
          </w:tcPr>
          <w:p w14:paraId="0D9E2F9E" w14:textId="659173BC" w:rsidR="002F7B43" w:rsidRDefault="00C76170">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p>
        </w:tc>
      </w:tr>
      <w:tr w:rsidR="002F7B43" w14:paraId="772D3155" w14:textId="77777777">
        <w:trPr>
          <w:trHeight w:val="527"/>
        </w:trPr>
        <w:tc>
          <w:tcPr>
            <w:tcW w:w="8505" w:type="dxa"/>
          </w:tcPr>
          <w:p w14:paraId="6B5409F9" w14:textId="77777777" w:rsidR="002F7B43" w:rsidRDefault="002F7B43">
            <w:pPr>
              <w:rPr>
                <w:rFonts w:ascii="Aptos" w:hAnsi="Aptos" w:cs="Arial"/>
                <w:sz w:val="20"/>
                <w:szCs w:val="20"/>
              </w:rPr>
            </w:pPr>
          </w:p>
          <w:p w14:paraId="120F7CA3" w14:textId="77777777" w:rsidR="002F7B43" w:rsidRDefault="00C76170">
            <w:pPr>
              <w:rPr>
                <w:rFonts w:ascii="Aptos" w:hAnsi="Aptos" w:cs="Arial"/>
                <w:sz w:val="20"/>
                <w:szCs w:val="20"/>
              </w:rPr>
            </w:pPr>
            <w:r>
              <w:rPr>
                <w:iCs/>
              </w:rPr>
              <w:t xml:space="preserve">ICTV </w:t>
            </w:r>
            <w:r>
              <w:rPr>
                <w:i/>
              </w:rPr>
              <w:t>Nidovirales</w:t>
            </w:r>
            <w:r>
              <w:t xml:space="preserve"> Study Group</w:t>
            </w:r>
          </w:p>
        </w:tc>
      </w:tr>
    </w:tbl>
    <w:tbl>
      <w:tblPr>
        <w:tblStyle w:val="TableGrid"/>
        <w:tblpPr w:leftFromText="180" w:rightFromText="180" w:vertAnchor="text" w:horzAnchor="margin" w:tblpX="108" w:tblpY="321"/>
        <w:tblW w:w="8505" w:type="dxa"/>
        <w:tblLayout w:type="fixed"/>
        <w:tblLook w:val="04A0" w:firstRow="1" w:lastRow="0" w:firstColumn="1" w:lastColumn="0" w:noHBand="0" w:noVBand="1"/>
      </w:tblPr>
      <w:tblGrid>
        <w:gridCol w:w="2413"/>
        <w:gridCol w:w="1981"/>
        <w:gridCol w:w="1985"/>
        <w:gridCol w:w="2126"/>
      </w:tblGrid>
      <w:tr w:rsidR="002F7B43" w14:paraId="4467F611" w14:textId="77777777">
        <w:tc>
          <w:tcPr>
            <w:tcW w:w="8504" w:type="dxa"/>
            <w:gridSpan w:val="4"/>
            <w:shd w:val="clear" w:color="auto" w:fill="F2F2F2" w:themeFill="background1" w:themeFillShade="F2"/>
          </w:tcPr>
          <w:p w14:paraId="1BCA8BF5" w14:textId="0F21BBFB" w:rsidR="002F7B43" w:rsidRDefault="00C76170">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2F7B43" w14:paraId="39128511" w14:textId="77777777">
        <w:tc>
          <w:tcPr>
            <w:tcW w:w="2412" w:type="dxa"/>
            <w:vMerge w:val="restart"/>
            <w:shd w:val="clear" w:color="auto" w:fill="F2F2F2" w:themeFill="background1" w:themeFillShade="F2"/>
          </w:tcPr>
          <w:p w14:paraId="6357CFA0" w14:textId="77777777" w:rsidR="002F7B43" w:rsidRDefault="00C76170">
            <w:pPr>
              <w:rPr>
                <w:rFonts w:ascii="Aptos" w:hAnsi="Aptos" w:cs="Arial"/>
                <w:b/>
                <w:bCs/>
                <w:color w:val="000000"/>
                <w:sz w:val="20"/>
                <w:szCs w:val="20"/>
              </w:rPr>
            </w:pPr>
            <w:r>
              <w:rPr>
                <w:rFonts w:ascii="Aptos" w:hAnsi="Aptos" w:cs="Arial"/>
                <w:b/>
                <w:bCs/>
                <w:color w:val="000000"/>
                <w:sz w:val="20"/>
                <w:szCs w:val="20"/>
              </w:rPr>
              <w:t>Study Group</w:t>
            </w:r>
          </w:p>
        </w:tc>
        <w:tc>
          <w:tcPr>
            <w:tcW w:w="6092" w:type="dxa"/>
            <w:gridSpan w:val="3"/>
            <w:shd w:val="clear" w:color="auto" w:fill="F2F2F2" w:themeFill="background1" w:themeFillShade="F2"/>
          </w:tcPr>
          <w:p w14:paraId="3AC52B15" w14:textId="77777777" w:rsidR="002F7B43" w:rsidRDefault="00C76170">
            <w:pPr>
              <w:jc w:val="center"/>
              <w:rPr>
                <w:rFonts w:ascii="Aptos" w:hAnsi="Aptos" w:cs="Arial"/>
                <w:b/>
                <w:bCs/>
                <w:color w:val="000000"/>
                <w:sz w:val="20"/>
                <w:szCs w:val="20"/>
              </w:rPr>
            </w:pPr>
            <w:r>
              <w:rPr>
                <w:rFonts w:ascii="Aptos" w:hAnsi="Aptos" w:cs="Arial"/>
                <w:b/>
                <w:bCs/>
                <w:color w:val="000000"/>
                <w:sz w:val="20"/>
                <w:szCs w:val="20"/>
              </w:rPr>
              <w:t>Number of members</w:t>
            </w:r>
          </w:p>
        </w:tc>
      </w:tr>
      <w:tr w:rsidR="002F7B43" w14:paraId="2E2110B0" w14:textId="77777777">
        <w:tc>
          <w:tcPr>
            <w:tcW w:w="2412" w:type="dxa"/>
            <w:vMerge/>
            <w:shd w:val="clear" w:color="auto" w:fill="F2F2F2" w:themeFill="background1" w:themeFillShade="F2"/>
          </w:tcPr>
          <w:p w14:paraId="1687BF1C" w14:textId="77777777" w:rsidR="002F7B43" w:rsidRDefault="002F7B43">
            <w:pPr>
              <w:rPr>
                <w:rFonts w:ascii="Aptos" w:hAnsi="Aptos" w:cs="Arial"/>
                <w:sz w:val="20"/>
                <w:szCs w:val="20"/>
              </w:rPr>
            </w:pPr>
          </w:p>
        </w:tc>
        <w:tc>
          <w:tcPr>
            <w:tcW w:w="1981" w:type="dxa"/>
            <w:shd w:val="clear" w:color="auto" w:fill="F2F2F2" w:themeFill="background1" w:themeFillShade="F2"/>
          </w:tcPr>
          <w:p w14:paraId="70BB5828" w14:textId="77777777" w:rsidR="002F7B43" w:rsidRDefault="00C76170">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5E31DF34" w14:textId="77777777" w:rsidR="002F7B43" w:rsidRDefault="00C76170">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3A4CC4A7" w14:textId="77777777" w:rsidR="002F7B43" w:rsidRDefault="00C76170">
            <w:pPr>
              <w:jc w:val="center"/>
              <w:rPr>
                <w:rFonts w:ascii="Aptos" w:hAnsi="Aptos" w:cs="Arial"/>
                <w:b/>
                <w:bCs/>
                <w:sz w:val="20"/>
                <w:szCs w:val="20"/>
              </w:rPr>
            </w:pPr>
            <w:r>
              <w:rPr>
                <w:rFonts w:ascii="Aptos" w:hAnsi="Aptos" w:cs="Arial"/>
                <w:b/>
                <w:bCs/>
                <w:sz w:val="20"/>
                <w:szCs w:val="20"/>
              </w:rPr>
              <w:t>No vote</w:t>
            </w:r>
          </w:p>
        </w:tc>
      </w:tr>
      <w:tr w:rsidR="002F7B43" w14:paraId="63081520" w14:textId="77777777">
        <w:tc>
          <w:tcPr>
            <w:tcW w:w="2412" w:type="dxa"/>
          </w:tcPr>
          <w:p w14:paraId="4589F77E" w14:textId="77777777" w:rsidR="002F7B43" w:rsidRDefault="00C76170">
            <w:pPr>
              <w:rPr>
                <w:rFonts w:ascii="Aptos" w:hAnsi="Aptos" w:cs="Arial"/>
                <w:sz w:val="20"/>
                <w:szCs w:val="20"/>
              </w:rPr>
            </w:pPr>
            <w:r>
              <w:rPr>
                <w:iCs/>
              </w:rPr>
              <w:t xml:space="preserve">ICTV </w:t>
            </w:r>
            <w:r>
              <w:rPr>
                <w:i/>
              </w:rPr>
              <w:t>Nidovirales</w:t>
            </w:r>
            <w:r>
              <w:t xml:space="preserve"> Study Group</w:t>
            </w:r>
          </w:p>
        </w:tc>
        <w:tc>
          <w:tcPr>
            <w:tcW w:w="1981" w:type="dxa"/>
          </w:tcPr>
          <w:p w14:paraId="58E88885" w14:textId="77777777" w:rsidR="002F7B43" w:rsidRDefault="00C76170">
            <w:pPr>
              <w:rPr>
                <w:rFonts w:ascii="Aptos" w:hAnsi="Aptos" w:cs="Arial"/>
                <w:sz w:val="20"/>
                <w:szCs w:val="20"/>
              </w:rPr>
            </w:pPr>
            <w:r>
              <w:rPr>
                <w:rFonts w:ascii="Aptos" w:hAnsi="Aptos" w:cs="Arial"/>
                <w:sz w:val="20"/>
                <w:szCs w:val="20"/>
              </w:rPr>
              <w:t>8</w:t>
            </w:r>
          </w:p>
        </w:tc>
        <w:tc>
          <w:tcPr>
            <w:tcW w:w="1985" w:type="dxa"/>
          </w:tcPr>
          <w:p w14:paraId="6BCA37CC" w14:textId="77777777" w:rsidR="002F7B43" w:rsidRDefault="00C76170">
            <w:pPr>
              <w:rPr>
                <w:rFonts w:ascii="Aptos" w:hAnsi="Aptos" w:cs="Arial"/>
                <w:sz w:val="20"/>
                <w:szCs w:val="20"/>
              </w:rPr>
            </w:pPr>
            <w:r>
              <w:rPr>
                <w:rFonts w:ascii="Aptos" w:hAnsi="Aptos" w:cs="Arial"/>
                <w:sz w:val="20"/>
                <w:szCs w:val="20"/>
              </w:rPr>
              <w:t>0</w:t>
            </w:r>
          </w:p>
        </w:tc>
        <w:tc>
          <w:tcPr>
            <w:tcW w:w="2126" w:type="dxa"/>
          </w:tcPr>
          <w:p w14:paraId="47CB7303" w14:textId="77777777" w:rsidR="002F7B43" w:rsidRDefault="00C76170">
            <w:pPr>
              <w:rPr>
                <w:rFonts w:ascii="Aptos" w:hAnsi="Aptos" w:cs="Arial"/>
                <w:sz w:val="20"/>
                <w:szCs w:val="20"/>
              </w:rPr>
            </w:pPr>
            <w:r>
              <w:rPr>
                <w:rFonts w:ascii="Aptos" w:hAnsi="Aptos" w:cs="Arial"/>
                <w:sz w:val="20"/>
                <w:szCs w:val="20"/>
              </w:rPr>
              <w:t>3</w:t>
            </w:r>
          </w:p>
        </w:tc>
      </w:tr>
      <w:tr w:rsidR="002F7B43" w14:paraId="7AA15ED7" w14:textId="77777777">
        <w:tc>
          <w:tcPr>
            <w:tcW w:w="2412" w:type="dxa"/>
          </w:tcPr>
          <w:p w14:paraId="481F6110" w14:textId="77777777" w:rsidR="002F7B43" w:rsidRDefault="002F7B43">
            <w:pPr>
              <w:rPr>
                <w:rFonts w:ascii="Aptos" w:hAnsi="Aptos" w:cs="Arial"/>
                <w:sz w:val="20"/>
                <w:szCs w:val="20"/>
              </w:rPr>
            </w:pPr>
          </w:p>
        </w:tc>
        <w:tc>
          <w:tcPr>
            <w:tcW w:w="1981" w:type="dxa"/>
          </w:tcPr>
          <w:p w14:paraId="76DB86FD" w14:textId="77777777" w:rsidR="002F7B43" w:rsidRDefault="002F7B43">
            <w:pPr>
              <w:rPr>
                <w:rFonts w:ascii="Aptos" w:hAnsi="Aptos" w:cs="Arial"/>
                <w:sz w:val="20"/>
                <w:szCs w:val="20"/>
              </w:rPr>
            </w:pPr>
          </w:p>
        </w:tc>
        <w:tc>
          <w:tcPr>
            <w:tcW w:w="1985" w:type="dxa"/>
          </w:tcPr>
          <w:p w14:paraId="5ED6927E" w14:textId="77777777" w:rsidR="002F7B43" w:rsidRDefault="002F7B43">
            <w:pPr>
              <w:rPr>
                <w:rFonts w:ascii="Aptos" w:hAnsi="Aptos" w:cs="Arial"/>
                <w:sz w:val="20"/>
                <w:szCs w:val="20"/>
              </w:rPr>
            </w:pPr>
          </w:p>
        </w:tc>
        <w:tc>
          <w:tcPr>
            <w:tcW w:w="2126" w:type="dxa"/>
          </w:tcPr>
          <w:p w14:paraId="68BECBE7" w14:textId="77777777" w:rsidR="002F7B43" w:rsidRDefault="002F7B43">
            <w:pPr>
              <w:rPr>
                <w:rFonts w:ascii="Aptos" w:hAnsi="Aptos" w:cs="Arial"/>
                <w:sz w:val="20"/>
                <w:szCs w:val="20"/>
              </w:rPr>
            </w:pPr>
          </w:p>
        </w:tc>
      </w:tr>
    </w:tbl>
    <w:p w14:paraId="3DBB10C6" w14:textId="77777777" w:rsidR="002F7B43" w:rsidRDefault="002F7B43">
      <w:pPr>
        <w:rPr>
          <w:rFonts w:ascii="Aptos" w:hAnsi="Aptos" w:cs="Arial"/>
          <w:b/>
          <w:bCs/>
          <w:sz w:val="20"/>
          <w:szCs w:val="20"/>
        </w:rPr>
      </w:pPr>
    </w:p>
    <w:p w14:paraId="4C7F59BD" w14:textId="77777777" w:rsidR="002F7B43" w:rsidRDefault="002F7B43">
      <w:pPr>
        <w:rPr>
          <w:rFonts w:ascii="Aptos" w:hAnsi="Aptos" w:cs="Arial"/>
          <w:b/>
          <w:bCs/>
          <w:sz w:val="20"/>
          <w:szCs w:val="20"/>
        </w:rPr>
      </w:pPr>
    </w:p>
    <w:p w14:paraId="4CA29162" w14:textId="77777777" w:rsidR="002F7B43" w:rsidRDefault="002F7B43">
      <w:pPr>
        <w:rPr>
          <w:rFonts w:ascii="Aptos" w:hAnsi="Aptos" w:cs="Arial"/>
          <w:b/>
          <w:bCs/>
          <w:sz w:val="20"/>
          <w:szCs w:val="20"/>
        </w:rPr>
      </w:pPr>
    </w:p>
    <w:p w14:paraId="13B041C2" w14:textId="77777777" w:rsidR="002F7B43" w:rsidRDefault="002F7B43">
      <w:pPr>
        <w:rPr>
          <w:rFonts w:ascii="Aptos" w:hAnsi="Aptos" w:cs="Arial"/>
          <w:b/>
          <w:bCs/>
          <w:sz w:val="20"/>
          <w:szCs w:val="20"/>
        </w:rPr>
      </w:pPr>
    </w:p>
    <w:p w14:paraId="6BD76B31" w14:textId="77777777" w:rsidR="002F7B43" w:rsidRDefault="002F7B43">
      <w:pPr>
        <w:rPr>
          <w:rFonts w:ascii="Aptos" w:hAnsi="Aptos" w:cs="Arial"/>
          <w:b/>
          <w:bCs/>
          <w:sz w:val="20"/>
          <w:szCs w:val="20"/>
        </w:rPr>
      </w:pPr>
    </w:p>
    <w:p w14:paraId="42382E16" w14:textId="77777777" w:rsidR="002F7B43" w:rsidRDefault="002F7B43">
      <w:pPr>
        <w:rPr>
          <w:rFonts w:ascii="Aptos" w:hAnsi="Aptos" w:cs="Arial"/>
          <w:b/>
          <w:bCs/>
          <w:sz w:val="20"/>
          <w:szCs w:val="20"/>
        </w:rPr>
      </w:pPr>
    </w:p>
    <w:p w14:paraId="004CE26E" w14:textId="77777777" w:rsidR="002F7B43" w:rsidRDefault="002F7B43">
      <w:pPr>
        <w:rPr>
          <w:rFonts w:ascii="Aptos" w:hAnsi="Aptos" w:cs="Arial"/>
          <w:b/>
          <w:bCs/>
          <w:sz w:val="20"/>
          <w:szCs w:val="20"/>
        </w:rPr>
      </w:pPr>
    </w:p>
    <w:p w14:paraId="209740AC" w14:textId="77777777" w:rsidR="002F7B43" w:rsidRDefault="002F7B43">
      <w:pPr>
        <w:rPr>
          <w:rFonts w:ascii="Aptos" w:hAnsi="Aptos" w:cs="Arial"/>
          <w:b/>
          <w:bCs/>
          <w:sz w:val="20"/>
          <w:szCs w:val="20"/>
        </w:rPr>
      </w:pPr>
    </w:p>
    <w:tbl>
      <w:tblPr>
        <w:tblStyle w:val="TableGrid"/>
        <w:tblpPr w:leftFromText="180" w:rightFromText="180" w:vertAnchor="text" w:horzAnchor="margin" w:tblpX="108" w:tblpY="-9"/>
        <w:tblW w:w="3969" w:type="dxa"/>
        <w:tblLayout w:type="fixed"/>
        <w:tblLook w:val="04A0" w:firstRow="1" w:lastRow="0" w:firstColumn="1" w:lastColumn="0" w:noHBand="0" w:noVBand="1"/>
      </w:tblPr>
      <w:tblGrid>
        <w:gridCol w:w="2268"/>
        <w:gridCol w:w="1701"/>
      </w:tblGrid>
      <w:tr w:rsidR="002F7B43" w14:paraId="72186A3B" w14:textId="77777777">
        <w:trPr>
          <w:trHeight w:val="244"/>
        </w:trPr>
        <w:tc>
          <w:tcPr>
            <w:tcW w:w="2267" w:type="dxa"/>
            <w:shd w:val="clear" w:color="auto" w:fill="F2F2F2" w:themeFill="background1" w:themeFillShade="F2"/>
          </w:tcPr>
          <w:p w14:paraId="6598CE7D" w14:textId="77777777" w:rsidR="002F7B43" w:rsidRDefault="00C76170">
            <w:pPr>
              <w:ind w:left="174"/>
              <w:rPr>
                <w:rFonts w:ascii="Aptos" w:hAnsi="Aptos" w:cs="Arial"/>
                <w:bCs/>
                <w:sz w:val="20"/>
                <w:szCs w:val="20"/>
              </w:rPr>
            </w:pPr>
            <w:r>
              <w:rPr>
                <w:rFonts w:ascii="Aptos" w:hAnsi="Aptos" w:cs="Arial"/>
                <w:b/>
                <w:bCs/>
                <w:sz w:val="20"/>
                <w:szCs w:val="20"/>
              </w:rPr>
              <w:t>Submission date:</w:t>
            </w:r>
          </w:p>
        </w:tc>
        <w:tc>
          <w:tcPr>
            <w:tcW w:w="1701" w:type="dxa"/>
          </w:tcPr>
          <w:p w14:paraId="32368EFE" w14:textId="58423B32" w:rsidR="002F7B43" w:rsidRDefault="0012186F">
            <w:pPr>
              <w:rPr>
                <w:rFonts w:ascii="Aptos" w:hAnsi="Aptos" w:cs="Arial"/>
                <w:bCs/>
                <w:color w:val="000000" w:themeColor="text1"/>
                <w:sz w:val="20"/>
                <w:szCs w:val="20"/>
              </w:rPr>
            </w:pPr>
            <w:r>
              <w:rPr>
                <w:rFonts w:ascii="Aptos" w:hAnsi="Aptos" w:cs="Arial"/>
                <w:bCs/>
                <w:color w:val="000000" w:themeColor="text1"/>
                <w:sz w:val="20"/>
                <w:szCs w:val="20"/>
              </w:rPr>
              <w:t>09/30/2026</w:t>
            </w:r>
          </w:p>
        </w:tc>
      </w:tr>
    </w:tbl>
    <w:p w14:paraId="5FF8C4B8" w14:textId="77777777" w:rsidR="002F7B43" w:rsidRDefault="002F7B43">
      <w:pPr>
        <w:rPr>
          <w:rFonts w:ascii="Aptos" w:hAnsi="Aptos" w:cs="Arial"/>
          <w:b/>
          <w:sz w:val="20"/>
          <w:szCs w:val="20"/>
        </w:rPr>
      </w:pPr>
    </w:p>
    <w:p w14:paraId="659FA8B3" w14:textId="77777777" w:rsidR="002F7B43" w:rsidRDefault="002F7B43">
      <w:pPr>
        <w:ind w:right="828"/>
        <w:rPr>
          <w:rFonts w:ascii="Aptos" w:hAnsi="Aptos" w:cs="Arial"/>
          <w:b/>
          <w:sz w:val="20"/>
          <w:szCs w:val="20"/>
        </w:rPr>
      </w:pPr>
    </w:p>
    <w:p w14:paraId="3917BD69" w14:textId="784BB0B6" w:rsidR="002F7B43" w:rsidRDefault="00C76170">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108" w:type="dxa"/>
        <w:tblLayout w:type="fixed"/>
        <w:tblLook w:val="04A0" w:firstRow="1" w:lastRow="0" w:firstColumn="1" w:lastColumn="0" w:noHBand="0" w:noVBand="1"/>
      </w:tblPr>
      <w:tblGrid>
        <w:gridCol w:w="8080"/>
        <w:gridCol w:w="425"/>
      </w:tblGrid>
      <w:tr w:rsidR="002F7B43" w14:paraId="6BE6EB0D" w14:textId="77777777">
        <w:tc>
          <w:tcPr>
            <w:tcW w:w="8079" w:type="dxa"/>
            <w:shd w:val="clear" w:color="auto" w:fill="F2F2F2" w:themeFill="background1" w:themeFillShade="F2"/>
          </w:tcPr>
          <w:p w14:paraId="5ECA2B93" w14:textId="77777777" w:rsidR="002F7B43" w:rsidRDefault="00C76170">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0CF69CB8" w14:textId="77777777" w:rsidR="002F7B43" w:rsidRDefault="00C76170">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2F7B43" w14:paraId="30AE8368" w14:textId="77777777">
        <w:tc>
          <w:tcPr>
            <w:tcW w:w="8079" w:type="dxa"/>
          </w:tcPr>
          <w:p w14:paraId="14D43202"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2B8F39F0" w14:textId="77777777" w:rsidR="002F7B43" w:rsidRDefault="002F7B43">
            <w:pPr>
              <w:rPr>
                <w:rFonts w:ascii="Aptos" w:eastAsia="Times" w:hAnsi="Aptos" w:cs="Arial"/>
                <w:b/>
                <w:color w:val="000000"/>
                <w:sz w:val="20"/>
                <w:szCs w:val="20"/>
                <w:lang w:eastAsia="en-GB"/>
              </w:rPr>
            </w:pPr>
          </w:p>
        </w:tc>
      </w:tr>
      <w:tr w:rsidR="002F7B43" w14:paraId="7AA15AA3" w14:textId="77777777">
        <w:tc>
          <w:tcPr>
            <w:tcW w:w="8079" w:type="dxa"/>
          </w:tcPr>
          <w:p w14:paraId="31F3F0BE"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76677932" w14:textId="77777777" w:rsidR="002F7B43" w:rsidRDefault="002F7B43">
            <w:pPr>
              <w:rPr>
                <w:rFonts w:ascii="Aptos" w:eastAsia="Times" w:hAnsi="Aptos" w:cs="Arial"/>
                <w:b/>
                <w:color w:val="000000"/>
                <w:sz w:val="20"/>
                <w:szCs w:val="20"/>
                <w:lang w:eastAsia="en-GB"/>
              </w:rPr>
            </w:pPr>
          </w:p>
        </w:tc>
      </w:tr>
      <w:tr w:rsidR="002F7B43" w14:paraId="09D9D34A" w14:textId="77777777">
        <w:tc>
          <w:tcPr>
            <w:tcW w:w="8079" w:type="dxa"/>
          </w:tcPr>
          <w:p w14:paraId="1B1F1993"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1324E7B5" w14:textId="77777777" w:rsidR="002F7B43" w:rsidRDefault="002F7B43">
            <w:pPr>
              <w:rPr>
                <w:rFonts w:ascii="Aptos" w:eastAsia="Times" w:hAnsi="Aptos" w:cs="Arial"/>
                <w:b/>
                <w:color w:val="000000"/>
                <w:sz w:val="20"/>
                <w:szCs w:val="20"/>
                <w:lang w:eastAsia="en-GB"/>
              </w:rPr>
            </w:pPr>
          </w:p>
        </w:tc>
      </w:tr>
      <w:tr w:rsidR="002F7B43" w14:paraId="517113BB" w14:textId="77777777">
        <w:tc>
          <w:tcPr>
            <w:tcW w:w="8079" w:type="dxa"/>
          </w:tcPr>
          <w:p w14:paraId="048B6AC5"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Uc – Accept subject to </w:t>
            </w:r>
            <w:r>
              <w:rPr>
                <w:rFonts w:ascii="Aptos" w:eastAsia="Times" w:hAnsi="Aptos" w:cs="Arial"/>
                <w:color w:val="000000"/>
                <w:sz w:val="20"/>
                <w:szCs w:val="20"/>
                <w:lang w:eastAsia="en-GB"/>
              </w:rPr>
              <w:t>revision and re-evaluation and email vote by the EC</w:t>
            </w:r>
          </w:p>
        </w:tc>
        <w:tc>
          <w:tcPr>
            <w:tcW w:w="425" w:type="dxa"/>
          </w:tcPr>
          <w:p w14:paraId="738BB379" w14:textId="77777777" w:rsidR="002F7B43" w:rsidRDefault="002F7B43">
            <w:pPr>
              <w:rPr>
                <w:rFonts w:ascii="Aptos" w:eastAsia="Times" w:hAnsi="Aptos" w:cs="Arial"/>
                <w:b/>
                <w:color w:val="000000"/>
                <w:sz w:val="20"/>
                <w:szCs w:val="20"/>
                <w:lang w:eastAsia="en-GB"/>
              </w:rPr>
            </w:pPr>
          </w:p>
        </w:tc>
      </w:tr>
      <w:tr w:rsidR="002F7B43" w14:paraId="6D5AE14C" w14:textId="77777777">
        <w:tc>
          <w:tcPr>
            <w:tcW w:w="8079" w:type="dxa"/>
          </w:tcPr>
          <w:p w14:paraId="7A0EC0A0"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2300B635" w14:textId="77777777" w:rsidR="002F7B43" w:rsidRDefault="002F7B43">
            <w:pPr>
              <w:rPr>
                <w:rFonts w:ascii="Aptos" w:eastAsia="Times" w:hAnsi="Aptos" w:cs="Arial"/>
                <w:b/>
                <w:color w:val="000000"/>
                <w:sz w:val="20"/>
                <w:szCs w:val="20"/>
                <w:lang w:eastAsia="en-GB"/>
              </w:rPr>
            </w:pPr>
          </w:p>
        </w:tc>
      </w:tr>
      <w:tr w:rsidR="002F7B43" w14:paraId="66DBB3B8" w14:textId="77777777">
        <w:tc>
          <w:tcPr>
            <w:tcW w:w="8079" w:type="dxa"/>
          </w:tcPr>
          <w:p w14:paraId="52821CD7"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499443D" w14:textId="77777777" w:rsidR="002F7B43" w:rsidRDefault="002F7B43">
            <w:pPr>
              <w:rPr>
                <w:rFonts w:ascii="Aptos" w:eastAsia="Times" w:hAnsi="Aptos" w:cs="Arial"/>
                <w:b/>
                <w:color w:val="000000"/>
                <w:sz w:val="20"/>
                <w:szCs w:val="20"/>
                <w:lang w:eastAsia="en-GB"/>
              </w:rPr>
            </w:pPr>
          </w:p>
        </w:tc>
      </w:tr>
      <w:tr w:rsidR="002F7B43" w14:paraId="7D62EA43" w14:textId="77777777">
        <w:tc>
          <w:tcPr>
            <w:tcW w:w="8079" w:type="dxa"/>
          </w:tcPr>
          <w:p w14:paraId="158A98B3"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0110D25D" w14:textId="77777777" w:rsidR="002F7B43" w:rsidRDefault="002F7B43">
            <w:pPr>
              <w:rPr>
                <w:rFonts w:ascii="Aptos" w:eastAsia="Times" w:hAnsi="Aptos" w:cs="Arial"/>
                <w:b/>
                <w:color w:val="000000"/>
                <w:sz w:val="20"/>
                <w:szCs w:val="20"/>
                <w:lang w:eastAsia="en-GB"/>
              </w:rPr>
            </w:pPr>
          </w:p>
        </w:tc>
      </w:tr>
    </w:tbl>
    <w:p w14:paraId="56C1FA2F" w14:textId="77777777" w:rsidR="002F7B43" w:rsidRDefault="002F7B43">
      <w:pPr>
        <w:rPr>
          <w:rFonts w:ascii="Aptos" w:eastAsia="Times" w:hAnsi="Aptos" w:cs="Arial"/>
          <w:b/>
          <w:color w:val="000000"/>
          <w:sz w:val="20"/>
          <w:szCs w:val="20"/>
          <w:lang w:eastAsia="en-GB"/>
        </w:rPr>
      </w:pPr>
    </w:p>
    <w:tbl>
      <w:tblPr>
        <w:tblStyle w:val="TableGrid"/>
        <w:tblW w:w="8505" w:type="dxa"/>
        <w:tblInd w:w="108" w:type="dxa"/>
        <w:tblLayout w:type="fixed"/>
        <w:tblLook w:val="04A0" w:firstRow="1" w:lastRow="0" w:firstColumn="1" w:lastColumn="0" w:noHBand="0" w:noVBand="1"/>
      </w:tblPr>
      <w:tblGrid>
        <w:gridCol w:w="8505"/>
      </w:tblGrid>
      <w:tr w:rsidR="002F7B43" w14:paraId="427F59E2" w14:textId="77777777">
        <w:trPr>
          <w:trHeight w:val="211"/>
        </w:trPr>
        <w:tc>
          <w:tcPr>
            <w:tcW w:w="8505" w:type="dxa"/>
            <w:shd w:val="clear" w:color="auto" w:fill="F2F2F2" w:themeFill="background1" w:themeFillShade="F2"/>
          </w:tcPr>
          <w:p w14:paraId="6AA7CD64" w14:textId="77777777" w:rsidR="002F7B43" w:rsidRDefault="00C76170">
            <w:pPr>
              <w:rPr>
                <w:rFonts w:ascii="Aptos" w:hAnsi="Aptos" w:cs="Arial"/>
                <w:sz w:val="20"/>
                <w:szCs w:val="20"/>
              </w:rPr>
            </w:pPr>
            <w:r>
              <w:rPr>
                <w:rFonts w:ascii="Aptos" w:hAnsi="Aptos" w:cs="Arial"/>
                <w:b/>
                <w:sz w:val="20"/>
                <w:szCs w:val="20"/>
              </w:rPr>
              <w:t>Comments from the Executive Committee:</w:t>
            </w:r>
          </w:p>
        </w:tc>
      </w:tr>
      <w:tr w:rsidR="002F7B43" w14:paraId="34952C70" w14:textId="77777777">
        <w:trPr>
          <w:trHeight w:val="794"/>
        </w:trPr>
        <w:tc>
          <w:tcPr>
            <w:tcW w:w="8505" w:type="dxa"/>
          </w:tcPr>
          <w:p w14:paraId="2AA803CD" w14:textId="77777777" w:rsidR="002F7B43" w:rsidRDefault="002F7B43">
            <w:pPr>
              <w:rPr>
                <w:rFonts w:ascii="Aptos" w:hAnsi="Aptos" w:cs="Arial"/>
                <w:sz w:val="20"/>
                <w:szCs w:val="20"/>
              </w:rPr>
            </w:pPr>
          </w:p>
          <w:p w14:paraId="0AA69B01" w14:textId="77777777" w:rsidR="002F7B43" w:rsidRDefault="002F7B43">
            <w:pPr>
              <w:rPr>
                <w:rFonts w:ascii="Aptos" w:hAnsi="Aptos" w:cs="Arial"/>
                <w:sz w:val="20"/>
                <w:szCs w:val="20"/>
              </w:rPr>
            </w:pPr>
          </w:p>
        </w:tc>
      </w:tr>
    </w:tbl>
    <w:p w14:paraId="59D68B92" w14:textId="77777777" w:rsidR="002F7B43" w:rsidRDefault="002F7B43">
      <w:pPr>
        <w:rPr>
          <w:rFonts w:ascii="Aptos" w:hAnsi="Aptos" w:cs="Arial"/>
          <w:b/>
          <w:sz w:val="20"/>
          <w:szCs w:val="20"/>
        </w:rPr>
      </w:pPr>
    </w:p>
    <w:p w14:paraId="16B53370" w14:textId="77777777" w:rsidR="002F7B43" w:rsidRDefault="002F7B43">
      <w:pPr>
        <w:rPr>
          <w:rFonts w:ascii="Aptos" w:hAnsi="Aptos" w:cs="Arial"/>
          <w:b/>
          <w:sz w:val="20"/>
          <w:szCs w:val="20"/>
        </w:rPr>
      </w:pPr>
    </w:p>
    <w:p w14:paraId="40830988" w14:textId="48E1C46A" w:rsidR="002F7B43" w:rsidRDefault="00C76170">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108" w:type="dxa"/>
        <w:tblLayout w:type="fixed"/>
        <w:tblLook w:val="04A0" w:firstRow="1" w:lastRow="0" w:firstColumn="1" w:lastColumn="0" w:noHBand="0" w:noVBand="1"/>
      </w:tblPr>
      <w:tblGrid>
        <w:gridCol w:w="8505"/>
      </w:tblGrid>
      <w:tr w:rsidR="002F7B43" w14:paraId="01BF3390" w14:textId="77777777">
        <w:tc>
          <w:tcPr>
            <w:tcW w:w="8505" w:type="dxa"/>
            <w:shd w:val="clear" w:color="auto" w:fill="F2F2F2" w:themeFill="background1" w:themeFillShade="F2"/>
          </w:tcPr>
          <w:p w14:paraId="7E1188EF" w14:textId="7629574C" w:rsidR="002F7B43" w:rsidRDefault="00C76170">
            <w:pPr>
              <w:rPr>
                <w:rFonts w:ascii="Aptos" w:hAnsi="Aptos" w:cs="Arial"/>
                <w:sz w:val="20"/>
                <w:szCs w:val="20"/>
              </w:rPr>
            </w:pPr>
            <w:r>
              <w:rPr>
                <w:rFonts w:ascii="Aptos" w:hAnsi="Aptos" w:cs="Arial"/>
                <w:b/>
                <w:sz w:val="20"/>
                <w:szCs w:val="20"/>
              </w:rPr>
              <w:t xml:space="preserve">Response of proposer: </w:t>
            </w:r>
          </w:p>
        </w:tc>
      </w:tr>
      <w:tr w:rsidR="002F7B43" w14:paraId="19907B7D" w14:textId="77777777">
        <w:tc>
          <w:tcPr>
            <w:tcW w:w="8505" w:type="dxa"/>
          </w:tcPr>
          <w:p w14:paraId="1F29BCCF" w14:textId="77777777" w:rsidR="002F7B43" w:rsidRDefault="002F7B43">
            <w:pPr>
              <w:rPr>
                <w:rFonts w:ascii="Aptos" w:hAnsi="Aptos" w:cs="Arial"/>
                <w:sz w:val="20"/>
                <w:szCs w:val="20"/>
              </w:rPr>
            </w:pPr>
          </w:p>
          <w:p w14:paraId="1F3D0C19" w14:textId="77777777" w:rsidR="002F7B43" w:rsidRDefault="002F7B43">
            <w:pPr>
              <w:rPr>
                <w:rFonts w:ascii="Aptos" w:hAnsi="Aptos" w:cs="Arial"/>
                <w:sz w:val="20"/>
                <w:szCs w:val="20"/>
              </w:rPr>
            </w:pPr>
          </w:p>
          <w:p w14:paraId="0405DCB9" w14:textId="77777777" w:rsidR="002F7B43" w:rsidRDefault="002F7B43">
            <w:pPr>
              <w:rPr>
                <w:rFonts w:ascii="Aptos" w:hAnsi="Aptos" w:cs="Arial"/>
                <w:sz w:val="20"/>
                <w:szCs w:val="20"/>
              </w:rPr>
            </w:pPr>
          </w:p>
          <w:p w14:paraId="6FF15D2D" w14:textId="77777777" w:rsidR="002F7B43" w:rsidRDefault="002F7B43">
            <w:pPr>
              <w:rPr>
                <w:rFonts w:ascii="Aptos" w:hAnsi="Aptos" w:cs="Arial"/>
                <w:sz w:val="20"/>
                <w:szCs w:val="20"/>
              </w:rPr>
            </w:pPr>
          </w:p>
        </w:tc>
      </w:tr>
    </w:tbl>
    <w:tbl>
      <w:tblPr>
        <w:tblStyle w:val="TableGrid"/>
        <w:tblpPr w:leftFromText="180" w:rightFromText="180" w:vertAnchor="text" w:horzAnchor="margin" w:tblpX="108" w:tblpY="234"/>
        <w:tblW w:w="3823" w:type="dxa"/>
        <w:tblLayout w:type="fixed"/>
        <w:tblLook w:val="04A0" w:firstRow="1" w:lastRow="0" w:firstColumn="1" w:lastColumn="0" w:noHBand="0" w:noVBand="1"/>
      </w:tblPr>
      <w:tblGrid>
        <w:gridCol w:w="1980"/>
        <w:gridCol w:w="1843"/>
      </w:tblGrid>
      <w:tr w:rsidR="002F7B43" w14:paraId="5EAB6C7D" w14:textId="77777777">
        <w:trPr>
          <w:trHeight w:val="244"/>
        </w:trPr>
        <w:tc>
          <w:tcPr>
            <w:tcW w:w="1979" w:type="dxa"/>
            <w:shd w:val="clear" w:color="auto" w:fill="F2F2F2" w:themeFill="background1" w:themeFillShade="F2"/>
          </w:tcPr>
          <w:p w14:paraId="56DE32DD" w14:textId="77777777" w:rsidR="002F7B43" w:rsidRDefault="00C76170">
            <w:pPr>
              <w:ind w:left="174"/>
              <w:rPr>
                <w:rFonts w:ascii="Aptos" w:hAnsi="Aptos" w:cs="Arial"/>
                <w:bCs/>
                <w:sz w:val="20"/>
                <w:szCs w:val="20"/>
              </w:rPr>
            </w:pPr>
            <w:r>
              <w:rPr>
                <w:rFonts w:ascii="Aptos" w:hAnsi="Aptos" w:cs="Arial"/>
                <w:b/>
                <w:bCs/>
                <w:sz w:val="20"/>
                <w:szCs w:val="20"/>
              </w:rPr>
              <w:t>Revision date:</w:t>
            </w:r>
          </w:p>
        </w:tc>
        <w:tc>
          <w:tcPr>
            <w:tcW w:w="1843" w:type="dxa"/>
          </w:tcPr>
          <w:p w14:paraId="25523AED" w14:textId="77777777" w:rsidR="002F7B43" w:rsidRDefault="002F7B43">
            <w:pPr>
              <w:rPr>
                <w:rFonts w:ascii="Aptos" w:hAnsi="Aptos" w:cs="Arial"/>
                <w:bCs/>
                <w:sz w:val="20"/>
                <w:szCs w:val="20"/>
              </w:rPr>
            </w:pPr>
          </w:p>
        </w:tc>
      </w:tr>
    </w:tbl>
    <w:p w14:paraId="716DE1CE" w14:textId="77777777" w:rsidR="002F7B43" w:rsidRDefault="002F7B43">
      <w:pPr>
        <w:ind w:firstLine="720"/>
        <w:rPr>
          <w:rFonts w:ascii="Aptos" w:hAnsi="Aptos" w:cs="Arial"/>
          <w:b/>
          <w:bCs/>
          <w:sz w:val="20"/>
          <w:szCs w:val="20"/>
        </w:rPr>
      </w:pPr>
    </w:p>
    <w:p w14:paraId="1F7C9958" w14:textId="776DC3D7" w:rsidR="002F7B43" w:rsidRDefault="002F7B43">
      <w:pPr>
        <w:rPr>
          <w:rFonts w:ascii="Aptos" w:hAnsi="Aptos" w:cs="Arial"/>
          <w:color w:val="C00000"/>
          <w:sz w:val="20"/>
          <w:szCs w:val="20"/>
        </w:rPr>
      </w:pPr>
    </w:p>
    <w:p w14:paraId="0A13820A" w14:textId="77777777" w:rsidR="002F7B43" w:rsidRDefault="002F7B43">
      <w:pPr>
        <w:ind w:firstLine="720"/>
        <w:rPr>
          <w:rFonts w:ascii="Aptos" w:hAnsi="Aptos" w:cs="Arial"/>
          <w:b/>
          <w:sz w:val="20"/>
          <w:szCs w:val="20"/>
        </w:rPr>
      </w:pPr>
    </w:p>
    <w:p w14:paraId="29706E89" w14:textId="77777777" w:rsidR="002F7B43" w:rsidRDefault="00C76170">
      <w:pPr>
        <w:rPr>
          <w:rFonts w:ascii="Aptos" w:hAnsi="Aptos" w:cs="Arial"/>
          <w:b/>
          <w:color w:val="000000"/>
          <w:sz w:val="20"/>
          <w:szCs w:val="20"/>
        </w:rPr>
      </w:pPr>
      <w:r>
        <w:br w:type="page"/>
      </w:r>
    </w:p>
    <w:p w14:paraId="594D3A63" w14:textId="77777777" w:rsidR="002F7B43" w:rsidRDefault="00C76170">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775B30FF" w14:textId="11D48B2F" w:rsidR="002F7B43" w:rsidRDefault="00C76170">
      <w:pPr>
        <w:pStyle w:val="BodyTextIndent"/>
        <w:ind w:left="0" w:hanging="15"/>
        <w:rPr>
          <w:rFonts w:ascii="Aptos" w:hAnsi="Aptos" w:cs="Arial"/>
          <w:b/>
          <w:color w:val="000000"/>
          <w:sz w:val="20"/>
        </w:rPr>
      </w:pPr>
      <w:hyperlink r:id="rId11">
        <w:r w:rsidR="002F7B43">
          <w:rPr>
            <w:rStyle w:val="Hyperlink"/>
            <w:rFonts w:ascii="Aptos" w:hAnsi="Aptos" w:cs="Arial"/>
            <w:sz w:val="20"/>
          </w:rPr>
          <w:t>https://ictv.global/taxonomy/templates</w:t>
        </w:r>
      </w:hyperlink>
    </w:p>
    <w:tbl>
      <w:tblPr>
        <w:tblStyle w:val="TableGrid"/>
        <w:tblW w:w="6232" w:type="dxa"/>
        <w:tblInd w:w="113" w:type="dxa"/>
        <w:tblLayout w:type="fixed"/>
        <w:tblLook w:val="04A0" w:firstRow="1" w:lastRow="0" w:firstColumn="1" w:lastColumn="0" w:noHBand="0" w:noVBand="1"/>
      </w:tblPr>
      <w:tblGrid>
        <w:gridCol w:w="2974"/>
        <w:gridCol w:w="425"/>
        <w:gridCol w:w="2408"/>
        <w:gridCol w:w="425"/>
      </w:tblGrid>
      <w:tr w:rsidR="002F7B43" w14:paraId="6F309639" w14:textId="77777777">
        <w:tc>
          <w:tcPr>
            <w:tcW w:w="6231" w:type="dxa"/>
            <w:gridSpan w:val="4"/>
            <w:shd w:val="clear" w:color="auto" w:fill="F2F2F2" w:themeFill="background1" w:themeFillShade="F2"/>
          </w:tcPr>
          <w:p w14:paraId="0073A293" w14:textId="3D26C2B4" w:rsidR="002F7B43" w:rsidRDefault="00C76170">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2F7B43" w14:paraId="5FB1F8EC" w14:textId="77777777">
        <w:tc>
          <w:tcPr>
            <w:tcW w:w="2973" w:type="dxa"/>
          </w:tcPr>
          <w:p w14:paraId="36000B16"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3AB60C1B" w14:textId="77777777" w:rsidR="002F7B43" w:rsidRDefault="00C76170">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8" w:type="dxa"/>
          </w:tcPr>
          <w:p w14:paraId="74FB3BBA"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652F3931" w14:textId="77777777" w:rsidR="002F7B43" w:rsidRDefault="002F7B43">
            <w:pPr>
              <w:rPr>
                <w:rFonts w:ascii="Aptos" w:eastAsia="Times" w:hAnsi="Aptos" w:cs="Arial"/>
                <w:b/>
                <w:color w:val="000000"/>
                <w:sz w:val="20"/>
                <w:szCs w:val="20"/>
                <w:lang w:eastAsia="en-GB"/>
              </w:rPr>
            </w:pPr>
          </w:p>
        </w:tc>
      </w:tr>
      <w:tr w:rsidR="002F7B43" w14:paraId="035EB002" w14:textId="77777777">
        <w:tc>
          <w:tcPr>
            <w:tcW w:w="2973" w:type="dxa"/>
          </w:tcPr>
          <w:p w14:paraId="49A753B2"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3342A4F6" w14:textId="77777777" w:rsidR="002F7B43" w:rsidRDefault="002F7B43">
            <w:pPr>
              <w:rPr>
                <w:rFonts w:ascii="Aptos" w:eastAsia="Times" w:hAnsi="Aptos" w:cs="Arial"/>
                <w:b/>
                <w:color w:val="000000"/>
                <w:sz w:val="20"/>
                <w:szCs w:val="20"/>
                <w:lang w:eastAsia="en-GB"/>
              </w:rPr>
            </w:pPr>
          </w:p>
        </w:tc>
        <w:tc>
          <w:tcPr>
            <w:tcW w:w="2408" w:type="dxa"/>
          </w:tcPr>
          <w:p w14:paraId="1EBF4E48"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2C2ADCA0" w14:textId="77777777" w:rsidR="002F7B43" w:rsidRDefault="002F7B43">
            <w:pPr>
              <w:rPr>
                <w:rFonts w:ascii="Aptos" w:eastAsia="Times" w:hAnsi="Aptos" w:cs="Arial"/>
                <w:b/>
                <w:color w:val="000000"/>
                <w:sz w:val="20"/>
                <w:szCs w:val="20"/>
                <w:lang w:eastAsia="en-GB"/>
              </w:rPr>
            </w:pPr>
          </w:p>
        </w:tc>
      </w:tr>
      <w:tr w:rsidR="002F7B43" w14:paraId="04D965C1" w14:textId="77777777">
        <w:tc>
          <w:tcPr>
            <w:tcW w:w="2973" w:type="dxa"/>
          </w:tcPr>
          <w:p w14:paraId="6292F3F2"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3AA58619" w14:textId="77777777" w:rsidR="002F7B43" w:rsidRDefault="002F7B43">
            <w:pPr>
              <w:rPr>
                <w:rFonts w:ascii="Aptos" w:eastAsia="Times" w:hAnsi="Aptos" w:cs="Arial"/>
                <w:b/>
                <w:color w:val="000000"/>
                <w:sz w:val="20"/>
                <w:szCs w:val="20"/>
                <w:lang w:eastAsia="en-GB"/>
              </w:rPr>
            </w:pPr>
          </w:p>
        </w:tc>
        <w:tc>
          <w:tcPr>
            <w:tcW w:w="2408" w:type="dxa"/>
          </w:tcPr>
          <w:p w14:paraId="7B16383B"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1E7836C2" w14:textId="77777777" w:rsidR="002F7B43" w:rsidRDefault="002F7B43">
            <w:pPr>
              <w:rPr>
                <w:rFonts w:ascii="Aptos" w:eastAsia="Times" w:hAnsi="Aptos" w:cs="Arial"/>
                <w:b/>
                <w:color w:val="000000"/>
                <w:sz w:val="20"/>
                <w:szCs w:val="20"/>
                <w:lang w:eastAsia="en-GB"/>
              </w:rPr>
            </w:pPr>
          </w:p>
        </w:tc>
      </w:tr>
      <w:tr w:rsidR="002F7B43" w14:paraId="2D72F3A7" w14:textId="77777777">
        <w:tc>
          <w:tcPr>
            <w:tcW w:w="2973" w:type="dxa"/>
          </w:tcPr>
          <w:p w14:paraId="23215636"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50F518D4" w14:textId="77777777" w:rsidR="002F7B43" w:rsidRDefault="002F7B43">
            <w:pPr>
              <w:rPr>
                <w:rFonts w:ascii="Aptos" w:eastAsia="Times" w:hAnsi="Aptos" w:cs="Arial"/>
                <w:b/>
                <w:color w:val="000000"/>
                <w:sz w:val="20"/>
                <w:szCs w:val="20"/>
                <w:lang w:eastAsia="en-GB"/>
              </w:rPr>
            </w:pPr>
          </w:p>
        </w:tc>
        <w:tc>
          <w:tcPr>
            <w:tcW w:w="2408" w:type="dxa"/>
          </w:tcPr>
          <w:p w14:paraId="65C6543B" w14:textId="77777777" w:rsidR="002F7B43" w:rsidRDefault="00C76170">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049A45C3" w14:textId="77777777" w:rsidR="002F7B43" w:rsidRDefault="002F7B43">
            <w:pPr>
              <w:rPr>
                <w:rFonts w:ascii="Aptos" w:eastAsia="Times" w:hAnsi="Aptos" w:cs="Arial"/>
                <w:b/>
                <w:color w:val="000000"/>
                <w:sz w:val="20"/>
                <w:szCs w:val="20"/>
                <w:lang w:eastAsia="en-GB"/>
              </w:rPr>
            </w:pPr>
          </w:p>
        </w:tc>
      </w:tr>
      <w:tr w:rsidR="002F7B43" w14:paraId="25611E02" w14:textId="77777777">
        <w:tc>
          <w:tcPr>
            <w:tcW w:w="2973" w:type="dxa"/>
          </w:tcPr>
          <w:p w14:paraId="2DFA0EC8" w14:textId="77777777" w:rsidR="002F7B43" w:rsidRDefault="00C76170">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6D15E293" w14:textId="77777777" w:rsidR="002F7B43" w:rsidRDefault="002F7B43">
            <w:pPr>
              <w:rPr>
                <w:rFonts w:ascii="Aptos" w:hAnsi="Aptos" w:cs="Arial"/>
                <w:b/>
                <w:sz w:val="20"/>
                <w:szCs w:val="20"/>
              </w:rPr>
            </w:pPr>
          </w:p>
        </w:tc>
        <w:tc>
          <w:tcPr>
            <w:tcW w:w="2408" w:type="dxa"/>
            <w:tcBorders>
              <w:top w:val="nil"/>
              <w:left w:val="nil"/>
              <w:bottom w:val="nil"/>
              <w:right w:val="nil"/>
            </w:tcBorders>
          </w:tcPr>
          <w:p w14:paraId="7BA20C06" w14:textId="77777777" w:rsidR="002F7B43" w:rsidRDefault="002F7B43"/>
        </w:tc>
        <w:tc>
          <w:tcPr>
            <w:tcW w:w="425" w:type="dxa"/>
            <w:tcBorders>
              <w:top w:val="nil"/>
              <w:left w:val="nil"/>
              <w:bottom w:val="nil"/>
              <w:right w:val="nil"/>
            </w:tcBorders>
          </w:tcPr>
          <w:p w14:paraId="12B42E4E" w14:textId="77777777" w:rsidR="002F7B43" w:rsidRDefault="002F7B43"/>
        </w:tc>
      </w:tr>
    </w:tbl>
    <w:p w14:paraId="19C90AFF" w14:textId="77777777" w:rsidR="002F7B43" w:rsidRDefault="002F7B43">
      <w:pPr>
        <w:rPr>
          <w:rFonts w:ascii="Aptos" w:hAnsi="Aptos" w:cs="Arial"/>
          <w:color w:val="808080" w:themeColor="background1" w:themeShade="80"/>
          <w:sz w:val="20"/>
        </w:rPr>
      </w:pPr>
    </w:p>
    <w:tbl>
      <w:tblPr>
        <w:tblStyle w:val="TableGrid"/>
        <w:tblW w:w="8930" w:type="dxa"/>
        <w:tblInd w:w="113" w:type="dxa"/>
        <w:tblLayout w:type="fixed"/>
        <w:tblLook w:val="04A0" w:firstRow="1" w:lastRow="0" w:firstColumn="1" w:lastColumn="0" w:noHBand="0" w:noVBand="1"/>
      </w:tblPr>
      <w:tblGrid>
        <w:gridCol w:w="2537"/>
        <w:gridCol w:w="6393"/>
      </w:tblGrid>
      <w:tr w:rsidR="002F7B43" w14:paraId="2C5EC805" w14:textId="77777777">
        <w:trPr>
          <w:trHeight w:val="297"/>
        </w:trPr>
        <w:tc>
          <w:tcPr>
            <w:tcW w:w="8929" w:type="dxa"/>
            <w:gridSpan w:val="2"/>
            <w:shd w:val="clear" w:color="auto" w:fill="F2F2F2" w:themeFill="background1" w:themeFillShade="F2"/>
          </w:tcPr>
          <w:p w14:paraId="50B78B10" w14:textId="30B7943E" w:rsidR="002F7B43" w:rsidRDefault="00C76170">
            <w:pPr>
              <w:rPr>
                <w:rFonts w:ascii="Aptos" w:hAnsi="Aptos" w:cs="Arial"/>
                <w:b/>
                <w:color w:val="0000FF"/>
                <w:sz w:val="20"/>
              </w:rPr>
            </w:pPr>
            <w:r>
              <w:rPr>
                <w:rFonts w:ascii="Aptos" w:hAnsi="Aptos" w:cs="Arial"/>
                <w:b/>
                <w:sz w:val="20"/>
                <w:szCs w:val="20"/>
              </w:rPr>
              <w:t xml:space="preserve">Etymology (origin) of proposed taxonomic names: </w:t>
            </w:r>
          </w:p>
        </w:tc>
      </w:tr>
      <w:tr w:rsidR="002F7B43" w14:paraId="4CE19635" w14:textId="77777777">
        <w:trPr>
          <w:trHeight w:val="73"/>
        </w:trPr>
        <w:tc>
          <w:tcPr>
            <w:tcW w:w="2537" w:type="dxa"/>
            <w:tcBorders>
              <w:top w:val="nil"/>
              <w:right w:val="nil"/>
            </w:tcBorders>
          </w:tcPr>
          <w:p w14:paraId="4B2C2E2C" w14:textId="77777777" w:rsidR="002F7B43" w:rsidRDefault="00C76170">
            <w:pPr>
              <w:rPr>
                <w:rFonts w:ascii="Aptos" w:hAnsi="Aptos" w:cs="Arial"/>
                <w:b/>
                <w:sz w:val="20"/>
                <w:szCs w:val="20"/>
              </w:rPr>
            </w:pPr>
            <w:r>
              <w:rPr>
                <w:rFonts w:ascii="Aptos" w:hAnsi="Aptos" w:cs="Arial"/>
                <w:b/>
                <w:sz w:val="20"/>
                <w:szCs w:val="20"/>
              </w:rPr>
              <w:t>Taxon name</w:t>
            </w:r>
          </w:p>
        </w:tc>
        <w:tc>
          <w:tcPr>
            <w:tcW w:w="6392" w:type="dxa"/>
            <w:tcBorders>
              <w:top w:val="nil"/>
            </w:tcBorders>
          </w:tcPr>
          <w:p w14:paraId="78F43D53" w14:textId="77777777" w:rsidR="002F7B43" w:rsidRDefault="00C76170">
            <w:r>
              <w:t>Etymology of the term</w:t>
            </w:r>
          </w:p>
        </w:tc>
      </w:tr>
      <w:tr w:rsidR="002F7B43" w14:paraId="242693C1" w14:textId="77777777">
        <w:trPr>
          <w:trHeight w:val="71"/>
        </w:trPr>
        <w:tc>
          <w:tcPr>
            <w:tcW w:w="2537" w:type="dxa"/>
            <w:tcBorders>
              <w:top w:val="nil"/>
              <w:right w:val="nil"/>
            </w:tcBorders>
            <w:vAlign w:val="center"/>
          </w:tcPr>
          <w:p w14:paraId="054C4F3E" w14:textId="77777777" w:rsidR="002F7B43" w:rsidRDefault="00C76170">
            <w:pPr>
              <w:jc w:val="both"/>
              <w:rPr>
                <w:i/>
                <w:iCs/>
                <w:sz w:val="20"/>
                <w:szCs w:val="20"/>
              </w:rPr>
            </w:pPr>
            <w:r>
              <w:rPr>
                <w:rFonts w:ascii="Aptos" w:hAnsi="Aptos" w:cs="Arial"/>
                <w:i/>
                <w:iCs/>
                <w:color w:val="000000" w:themeColor="text1"/>
                <w:sz w:val="20"/>
                <w:szCs w:val="20"/>
              </w:rPr>
              <w:t>Sortoniviridae</w:t>
            </w:r>
          </w:p>
        </w:tc>
        <w:tc>
          <w:tcPr>
            <w:tcW w:w="6392" w:type="dxa"/>
            <w:tcBorders>
              <w:top w:val="nil"/>
            </w:tcBorders>
            <w:vAlign w:val="center"/>
          </w:tcPr>
          <w:p w14:paraId="5B88A4C9" w14:textId="77777777" w:rsidR="002F7B43" w:rsidRDefault="00C76170">
            <w:pPr>
              <w:jc w:val="both"/>
              <w:rPr>
                <w:sz w:val="20"/>
                <w:szCs w:val="20"/>
              </w:rPr>
            </w:pPr>
            <w:r>
              <w:rPr>
                <w:rFonts w:ascii="Aptos" w:hAnsi="Aptos" w:cs="Arial"/>
                <w:color w:val="000000" w:themeColor="text1"/>
                <w:sz w:val="20"/>
                <w:szCs w:val="20"/>
              </w:rPr>
              <w:t xml:space="preserve">The family </w:t>
            </w:r>
            <w:r>
              <w:rPr>
                <w:rFonts w:ascii="Aptos" w:hAnsi="Aptos" w:cs="Arial"/>
                <w:color w:val="000000" w:themeColor="text1"/>
                <w:sz w:val="20"/>
                <w:szCs w:val="20"/>
              </w:rPr>
              <w:t>name reflects that the newly proposed family is the closest known sister lineage to the family</w:t>
            </w:r>
            <w:r>
              <w:rPr>
                <w:rFonts w:ascii="Aptos" w:hAnsi="Aptos" w:cs="Arial"/>
                <w:i/>
                <w:iCs/>
                <w:color w:val="000000" w:themeColor="text1"/>
                <w:sz w:val="20"/>
                <w:szCs w:val="20"/>
              </w:rPr>
              <w:t xml:space="preserve"> Tobaniviridae</w:t>
            </w:r>
            <w:r>
              <w:rPr>
                <w:rFonts w:ascii="Aptos" w:hAnsi="Aptos" w:cs="Arial"/>
                <w:color w:val="000000" w:themeColor="text1"/>
                <w:sz w:val="20"/>
                <w:szCs w:val="20"/>
              </w:rPr>
              <w:t>. “sor” from Latin word “soror” meaning “sister”, “to” and “ni” from “tobani”.</w:t>
            </w:r>
          </w:p>
        </w:tc>
      </w:tr>
      <w:tr w:rsidR="002F7B43" w14:paraId="41BAAEA0" w14:textId="77777777">
        <w:trPr>
          <w:trHeight w:val="71"/>
        </w:trPr>
        <w:tc>
          <w:tcPr>
            <w:tcW w:w="2537" w:type="dxa"/>
            <w:tcBorders>
              <w:top w:val="nil"/>
              <w:right w:val="nil"/>
            </w:tcBorders>
            <w:vAlign w:val="center"/>
          </w:tcPr>
          <w:p w14:paraId="76FF19B1" w14:textId="77777777" w:rsidR="002F7B43" w:rsidRDefault="00C76170">
            <w:pPr>
              <w:jc w:val="both"/>
              <w:rPr>
                <w:i/>
                <w:iCs/>
                <w:sz w:val="20"/>
                <w:szCs w:val="20"/>
              </w:rPr>
            </w:pPr>
            <w:r>
              <w:rPr>
                <w:rFonts w:ascii="Aptos" w:hAnsi="Aptos" w:cs="Arial"/>
                <w:i/>
                <w:iCs/>
                <w:color w:val="000000" w:themeColor="text1"/>
                <w:sz w:val="20"/>
                <w:szCs w:val="20"/>
              </w:rPr>
              <w:t>Alphasortonivirus</w:t>
            </w:r>
          </w:p>
        </w:tc>
        <w:tc>
          <w:tcPr>
            <w:tcW w:w="6392" w:type="dxa"/>
            <w:tcBorders>
              <w:top w:val="nil"/>
            </w:tcBorders>
            <w:vAlign w:val="center"/>
          </w:tcPr>
          <w:p w14:paraId="33899F8D" w14:textId="77777777" w:rsidR="002F7B43" w:rsidRDefault="00C76170">
            <w:pPr>
              <w:jc w:val="both"/>
              <w:rPr>
                <w:sz w:val="20"/>
                <w:szCs w:val="20"/>
              </w:rPr>
            </w:pPr>
            <w:r>
              <w:rPr>
                <w:rFonts w:ascii="Aptos" w:hAnsi="Aptos" w:cs="Arial"/>
                <w:color w:val="000000" w:themeColor="text1"/>
                <w:sz w:val="20"/>
                <w:szCs w:val="20"/>
              </w:rPr>
              <w:t xml:space="preserve">First described genus (“Alpha”) in family </w:t>
            </w:r>
            <w:r>
              <w:rPr>
                <w:rFonts w:ascii="Aptos" w:hAnsi="Aptos" w:cs="Arial"/>
                <w:i/>
                <w:iCs/>
                <w:color w:val="000000" w:themeColor="text1"/>
                <w:sz w:val="20"/>
                <w:szCs w:val="20"/>
              </w:rPr>
              <w:t>Sortoniviridae</w:t>
            </w:r>
          </w:p>
        </w:tc>
      </w:tr>
      <w:tr w:rsidR="002F7B43" w14:paraId="4316E825" w14:textId="77777777">
        <w:trPr>
          <w:trHeight w:val="260"/>
        </w:trPr>
        <w:tc>
          <w:tcPr>
            <w:tcW w:w="2537" w:type="dxa"/>
            <w:tcBorders>
              <w:top w:val="nil"/>
              <w:right w:val="nil"/>
            </w:tcBorders>
            <w:vAlign w:val="center"/>
          </w:tcPr>
          <w:p w14:paraId="31CA1820" w14:textId="77777777" w:rsidR="002F7B43" w:rsidRDefault="00C76170">
            <w:pPr>
              <w:jc w:val="both"/>
              <w:rPr>
                <w:i/>
                <w:iCs/>
                <w:sz w:val="20"/>
                <w:szCs w:val="20"/>
              </w:rPr>
            </w:pPr>
            <w:r>
              <w:rPr>
                <w:rFonts w:ascii="Aptos" w:hAnsi="Aptos" w:cs="Arial"/>
                <w:i/>
                <w:iCs/>
                <w:color w:val="000000" w:themeColor="text1"/>
                <w:sz w:val="20"/>
                <w:szCs w:val="20"/>
              </w:rPr>
              <w:t>Alphasortonivirus aberratum</w:t>
            </w:r>
          </w:p>
        </w:tc>
        <w:tc>
          <w:tcPr>
            <w:tcW w:w="6392" w:type="dxa"/>
            <w:tcBorders>
              <w:top w:val="nil"/>
            </w:tcBorders>
            <w:vAlign w:val="center"/>
          </w:tcPr>
          <w:p w14:paraId="310C61F6" w14:textId="77777777" w:rsidR="002F7B43" w:rsidRDefault="00C76170">
            <w:pPr>
              <w:jc w:val="both"/>
              <w:rPr>
                <w:sz w:val="20"/>
                <w:szCs w:val="20"/>
              </w:rPr>
            </w:pPr>
            <w:r>
              <w:rPr>
                <w:rFonts w:ascii="Aptos" w:hAnsi="Aptos" w:cs="Arial"/>
                <w:color w:val="000000" w:themeColor="text1"/>
                <w:sz w:val="20"/>
                <w:szCs w:val="20"/>
              </w:rPr>
              <w:t>Epithet meaning “having strayed, gone astray” reflects its phylogenetic position within the vertebrate nidoviruses while being discovered from an invertebrate sample.</w:t>
            </w:r>
          </w:p>
        </w:tc>
      </w:tr>
    </w:tbl>
    <w:p w14:paraId="60D49BBF" w14:textId="77777777" w:rsidR="002F7B43" w:rsidRDefault="002F7B43">
      <w:pPr>
        <w:rPr>
          <w:rFonts w:ascii="Aptos" w:hAnsi="Aptos" w:cs="Arial"/>
          <w:color w:val="0000FF"/>
          <w:sz w:val="20"/>
          <w:szCs w:val="20"/>
        </w:rPr>
      </w:pPr>
    </w:p>
    <w:p w14:paraId="5767D317" w14:textId="77777777" w:rsidR="002F7B43" w:rsidRDefault="002F7B43">
      <w:pPr>
        <w:rPr>
          <w:rFonts w:ascii="Aptos" w:hAnsi="Aptos" w:cs="Arial"/>
          <w:color w:val="0000FF"/>
          <w:sz w:val="20"/>
          <w:szCs w:val="20"/>
        </w:rPr>
      </w:pPr>
    </w:p>
    <w:tbl>
      <w:tblPr>
        <w:tblStyle w:val="TableGrid"/>
        <w:tblW w:w="8926" w:type="dxa"/>
        <w:tblInd w:w="113" w:type="dxa"/>
        <w:tblLayout w:type="fixed"/>
        <w:tblLook w:val="04A0" w:firstRow="1" w:lastRow="0" w:firstColumn="1" w:lastColumn="0" w:noHBand="0" w:noVBand="1"/>
      </w:tblPr>
      <w:tblGrid>
        <w:gridCol w:w="2543"/>
        <w:gridCol w:w="5103"/>
        <w:gridCol w:w="1280"/>
      </w:tblGrid>
      <w:tr w:rsidR="002F7B43" w14:paraId="104B8E90" w14:textId="77777777">
        <w:tc>
          <w:tcPr>
            <w:tcW w:w="8926" w:type="dxa"/>
            <w:gridSpan w:val="3"/>
            <w:shd w:val="clear" w:color="auto" w:fill="F2F2F2" w:themeFill="background1" w:themeFillShade="F2"/>
          </w:tcPr>
          <w:p w14:paraId="4519F7FD" w14:textId="55846E4F" w:rsidR="002F7B43" w:rsidRDefault="00C76170">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2F7B43" w14:paraId="7C878C4D" w14:textId="77777777">
        <w:tc>
          <w:tcPr>
            <w:tcW w:w="2543" w:type="dxa"/>
          </w:tcPr>
          <w:p w14:paraId="3DA8E222" w14:textId="77777777" w:rsidR="002F7B43" w:rsidRDefault="00C76170">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12F8188F" w14:textId="77777777" w:rsidR="002F7B43" w:rsidRDefault="00C76170">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80" w:type="dxa"/>
          </w:tcPr>
          <w:p w14:paraId="52D2D022" w14:textId="5488BED0" w:rsidR="002F7B43" w:rsidRDefault="00C76170">
            <w:pPr>
              <w:rPr>
                <w:rFonts w:ascii="Aptos" w:hAnsi="Aptos" w:cs="Arial"/>
                <w:color w:val="0000FF"/>
                <w:sz w:val="20"/>
                <w:szCs w:val="20"/>
              </w:rPr>
            </w:pPr>
            <w:r>
              <w:rPr>
                <w:rFonts w:ascii="Aptos" w:hAnsi="Aptos" w:cs="Arial"/>
                <w:b/>
                <w:bCs/>
                <w:color w:val="000000"/>
                <w:sz w:val="20"/>
                <w:szCs w:val="20"/>
              </w:rPr>
              <w:t xml:space="preserve">Attached </w:t>
            </w:r>
          </w:p>
        </w:tc>
      </w:tr>
      <w:tr w:rsidR="002F7B43" w14:paraId="34122C47" w14:textId="77777777">
        <w:tc>
          <w:tcPr>
            <w:tcW w:w="2543" w:type="dxa"/>
            <w:vAlign w:val="center"/>
          </w:tcPr>
          <w:p w14:paraId="771E7203" w14:textId="77777777" w:rsidR="002F7B43" w:rsidRDefault="002F7B43">
            <w:pPr>
              <w:jc w:val="both"/>
              <w:rPr>
                <w:rFonts w:ascii="Aptos" w:hAnsi="Aptos" w:cs="Arial"/>
                <w:color w:val="000000" w:themeColor="text1"/>
                <w:sz w:val="20"/>
                <w:szCs w:val="20"/>
              </w:rPr>
            </w:pPr>
          </w:p>
        </w:tc>
        <w:tc>
          <w:tcPr>
            <w:tcW w:w="5103" w:type="dxa"/>
            <w:vAlign w:val="center"/>
          </w:tcPr>
          <w:p w14:paraId="6608C9A9" w14:textId="77777777" w:rsidR="002F7B43" w:rsidRDefault="002F7B43">
            <w:pPr>
              <w:jc w:val="both"/>
              <w:rPr>
                <w:rFonts w:ascii="Aptos" w:hAnsi="Aptos" w:cs="Arial"/>
                <w:color w:val="000000" w:themeColor="text1"/>
                <w:sz w:val="20"/>
                <w:szCs w:val="20"/>
              </w:rPr>
            </w:pPr>
          </w:p>
        </w:tc>
        <w:tc>
          <w:tcPr>
            <w:tcW w:w="1280" w:type="dxa"/>
            <w:vAlign w:val="center"/>
          </w:tcPr>
          <w:p w14:paraId="7A2D39DF" w14:textId="77777777" w:rsidR="002F7B43" w:rsidRDefault="002F7B43">
            <w:pPr>
              <w:jc w:val="both"/>
              <w:rPr>
                <w:rFonts w:ascii="Aptos" w:hAnsi="Aptos" w:cs="Arial"/>
                <w:color w:val="000000" w:themeColor="text1"/>
                <w:sz w:val="20"/>
                <w:szCs w:val="20"/>
              </w:rPr>
            </w:pPr>
          </w:p>
        </w:tc>
      </w:tr>
      <w:tr w:rsidR="002F7B43" w14:paraId="639E2F02" w14:textId="77777777">
        <w:tc>
          <w:tcPr>
            <w:tcW w:w="2543" w:type="dxa"/>
            <w:vAlign w:val="center"/>
          </w:tcPr>
          <w:p w14:paraId="38397AD5" w14:textId="77777777" w:rsidR="002F7B43" w:rsidRDefault="002F7B43">
            <w:pPr>
              <w:jc w:val="both"/>
              <w:rPr>
                <w:rFonts w:ascii="Aptos" w:hAnsi="Aptos" w:cs="Arial"/>
                <w:color w:val="000000" w:themeColor="text1"/>
                <w:sz w:val="20"/>
                <w:szCs w:val="20"/>
              </w:rPr>
            </w:pPr>
          </w:p>
        </w:tc>
        <w:tc>
          <w:tcPr>
            <w:tcW w:w="5103" w:type="dxa"/>
            <w:vAlign w:val="center"/>
          </w:tcPr>
          <w:p w14:paraId="102A0B75" w14:textId="77777777" w:rsidR="002F7B43" w:rsidRDefault="002F7B43">
            <w:pPr>
              <w:jc w:val="both"/>
              <w:rPr>
                <w:rFonts w:ascii="Aptos" w:hAnsi="Aptos" w:cs="Arial"/>
                <w:color w:val="000000" w:themeColor="text1"/>
                <w:sz w:val="20"/>
                <w:szCs w:val="20"/>
              </w:rPr>
            </w:pPr>
          </w:p>
        </w:tc>
        <w:tc>
          <w:tcPr>
            <w:tcW w:w="1280" w:type="dxa"/>
            <w:vAlign w:val="center"/>
          </w:tcPr>
          <w:p w14:paraId="38064552" w14:textId="77777777" w:rsidR="002F7B43" w:rsidRDefault="002F7B43">
            <w:pPr>
              <w:jc w:val="both"/>
              <w:rPr>
                <w:rFonts w:ascii="Aptos" w:hAnsi="Aptos" w:cs="Arial"/>
                <w:color w:val="000000" w:themeColor="text1"/>
                <w:sz w:val="20"/>
                <w:szCs w:val="20"/>
              </w:rPr>
            </w:pPr>
          </w:p>
        </w:tc>
      </w:tr>
      <w:tr w:rsidR="002F7B43" w14:paraId="272AF48B" w14:textId="77777777">
        <w:tc>
          <w:tcPr>
            <w:tcW w:w="2543" w:type="dxa"/>
            <w:vAlign w:val="center"/>
          </w:tcPr>
          <w:p w14:paraId="467E3FDC" w14:textId="77777777" w:rsidR="002F7B43" w:rsidRDefault="002F7B43">
            <w:pPr>
              <w:jc w:val="both"/>
              <w:rPr>
                <w:rFonts w:ascii="Aptos" w:hAnsi="Aptos" w:cs="Arial"/>
                <w:color w:val="000000" w:themeColor="text1"/>
                <w:sz w:val="20"/>
                <w:szCs w:val="20"/>
              </w:rPr>
            </w:pPr>
          </w:p>
        </w:tc>
        <w:tc>
          <w:tcPr>
            <w:tcW w:w="5103" w:type="dxa"/>
            <w:vAlign w:val="center"/>
          </w:tcPr>
          <w:p w14:paraId="7464B67B" w14:textId="77777777" w:rsidR="002F7B43" w:rsidRDefault="002F7B43">
            <w:pPr>
              <w:jc w:val="both"/>
              <w:rPr>
                <w:rFonts w:ascii="Aptos" w:hAnsi="Aptos" w:cs="Arial"/>
                <w:color w:val="000000" w:themeColor="text1"/>
                <w:sz w:val="20"/>
                <w:szCs w:val="20"/>
              </w:rPr>
            </w:pPr>
          </w:p>
        </w:tc>
        <w:tc>
          <w:tcPr>
            <w:tcW w:w="1280" w:type="dxa"/>
            <w:vAlign w:val="center"/>
          </w:tcPr>
          <w:p w14:paraId="56B98B89" w14:textId="77777777" w:rsidR="002F7B43" w:rsidRDefault="002F7B43">
            <w:pPr>
              <w:jc w:val="both"/>
              <w:rPr>
                <w:rFonts w:ascii="Aptos" w:hAnsi="Aptos" w:cs="Arial"/>
                <w:color w:val="000000" w:themeColor="text1"/>
                <w:sz w:val="20"/>
                <w:szCs w:val="20"/>
              </w:rPr>
            </w:pPr>
          </w:p>
        </w:tc>
      </w:tr>
      <w:tr w:rsidR="002F7B43" w14:paraId="3F543A5C" w14:textId="77777777">
        <w:tc>
          <w:tcPr>
            <w:tcW w:w="2543" w:type="dxa"/>
            <w:vAlign w:val="center"/>
          </w:tcPr>
          <w:p w14:paraId="35F42FF2" w14:textId="77777777" w:rsidR="002F7B43" w:rsidRDefault="002F7B43">
            <w:pPr>
              <w:jc w:val="both"/>
              <w:rPr>
                <w:rFonts w:ascii="Aptos" w:hAnsi="Aptos" w:cs="Arial"/>
                <w:color w:val="000000" w:themeColor="text1"/>
                <w:sz w:val="20"/>
                <w:szCs w:val="20"/>
              </w:rPr>
            </w:pPr>
          </w:p>
        </w:tc>
        <w:tc>
          <w:tcPr>
            <w:tcW w:w="5103" w:type="dxa"/>
            <w:vAlign w:val="center"/>
          </w:tcPr>
          <w:p w14:paraId="73E01A46" w14:textId="77777777" w:rsidR="002F7B43" w:rsidRDefault="002F7B43">
            <w:pPr>
              <w:jc w:val="both"/>
              <w:rPr>
                <w:rFonts w:ascii="Aptos" w:hAnsi="Aptos" w:cs="Arial"/>
                <w:color w:val="000000" w:themeColor="text1"/>
                <w:sz w:val="20"/>
                <w:szCs w:val="20"/>
              </w:rPr>
            </w:pPr>
          </w:p>
        </w:tc>
        <w:tc>
          <w:tcPr>
            <w:tcW w:w="1280" w:type="dxa"/>
            <w:vAlign w:val="center"/>
          </w:tcPr>
          <w:p w14:paraId="775CD494" w14:textId="77777777" w:rsidR="002F7B43" w:rsidRDefault="002F7B43">
            <w:pPr>
              <w:jc w:val="both"/>
              <w:rPr>
                <w:rFonts w:ascii="Aptos" w:hAnsi="Aptos" w:cs="Arial"/>
                <w:color w:val="000000" w:themeColor="text1"/>
                <w:sz w:val="20"/>
                <w:szCs w:val="20"/>
              </w:rPr>
            </w:pPr>
          </w:p>
        </w:tc>
      </w:tr>
    </w:tbl>
    <w:p w14:paraId="1D4FBA5C" w14:textId="77777777" w:rsidR="002F7B43" w:rsidRDefault="002F7B43">
      <w:pPr>
        <w:rPr>
          <w:rFonts w:ascii="Aptos" w:hAnsi="Aptos" w:cs="Arial"/>
          <w:color w:val="0000FF"/>
          <w:sz w:val="20"/>
          <w:szCs w:val="20"/>
        </w:rPr>
      </w:pPr>
    </w:p>
    <w:p w14:paraId="16AD1438" w14:textId="77777777" w:rsidR="002F7B43" w:rsidRDefault="00C76170">
      <w:pPr>
        <w:rPr>
          <w:rFonts w:ascii="Aptos" w:hAnsi="Aptos" w:cs="Arial"/>
          <w:color w:val="0000FF"/>
          <w:sz w:val="20"/>
          <w:szCs w:val="20"/>
        </w:rPr>
      </w:pPr>
      <w:r>
        <w:br w:type="page"/>
      </w:r>
    </w:p>
    <w:p w14:paraId="08ED760C" w14:textId="77777777" w:rsidR="002F7B43" w:rsidRDefault="002F7B43">
      <w:pPr>
        <w:rPr>
          <w:rFonts w:ascii="Aptos" w:hAnsi="Aptos" w:cs="Arial"/>
          <w:color w:val="0000FF"/>
          <w:sz w:val="20"/>
          <w:szCs w:val="20"/>
        </w:rPr>
      </w:pPr>
    </w:p>
    <w:tbl>
      <w:tblPr>
        <w:tblStyle w:val="TableGrid"/>
        <w:tblW w:w="8926" w:type="dxa"/>
        <w:tblInd w:w="113" w:type="dxa"/>
        <w:tblLayout w:type="fixed"/>
        <w:tblLook w:val="04A0" w:firstRow="1" w:lastRow="0" w:firstColumn="1" w:lastColumn="0" w:noHBand="0" w:noVBand="1"/>
      </w:tblPr>
      <w:tblGrid>
        <w:gridCol w:w="8926"/>
      </w:tblGrid>
      <w:tr w:rsidR="002F7B43" w14:paraId="544755CE" w14:textId="77777777">
        <w:tc>
          <w:tcPr>
            <w:tcW w:w="8926" w:type="dxa"/>
            <w:shd w:val="clear" w:color="auto" w:fill="F2F2F2" w:themeFill="background1" w:themeFillShade="F2"/>
          </w:tcPr>
          <w:p w14:paraId="18000833" w14:textId="66F1584F" w:rsidR="002F7B43" w:rsidRDefault="00C76170">
            <w:pPr>
              <w:rPr>
                <w:rFonts w:ascii="Aptos" w:hAnsi="Aptos" w:cs="Arial"/>
                <w:color w:val="0000FF"/>
                <w:sz w:val="20"/>
                <w:szCs w:val="20"/>
              </w:rPr>
            </w:pPr>
            <w:r>
              <w:rPr>
                <w:rFonts w:ascii="Aptos" w:hAnsi="Aptos" w:cs="Arial"/>
                <w:b/>
                <w:sz w:val="20"/>
                <w:szCs w:val="20"/>
              </w:rPr>
              <w:t xml:space="preserve">Abstract of Taxonomy Proposal: </w:t>
            </w:r>
          </w:p>
        </w:tc>
      </w:tr>
      <w:tr w:rsidR="002F7B43" w14:paraId="17F8DAF1" w14:textId="77777777">
        <w:tc>
          <w:tcPr>
            <w:tcW w:w="8926" w:type="dxa"/>
          </w:tcPr>
          <w:p w14:paraId="4FB3B267" w14:textId="77777777" w:rsidR="002F7B43" w:rsidRDefault="002F7B43">
            <w:pPr>
              <w:rPr>
                <w:rFonts w:ascii="Aptos" w:hAnsi="Aptos" w:cs="Arial"/>
                <w:b/>
                <w:i/>
                <w:sz w:val="20"/>
                <w:szCs w:val="20"/>
              </w:rPr>
            </w:pPr>
          </w:p>
          <w:p w14:paraId="3BCFE8D8" w14:textId="77777777" w:rsidR="002F7B43" w:rsidRDefault="00C7617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32246EA0" w14:textId="77777777" w:rsidR="002F7B43" w:rsidRDefault="00C76170">
            <w:pPr>
              <w:rPr>
                <w:rFonts w:ascii="Aptos" w:hAnsi="Aptos" w:cs="Arial"/>
                <w:sz w:val="20"/>
                <w:szCs w:val="20"/>
              </w:rPr>
            </w:pPr>
            <w:r>
              <w:rPr>
                <w:rFonts w:ascii="Aptos" w:hAnsi="Aptos" w:cs="Arial"/>
                <w:sz w:val="20"/>
                <w:szCs w:val="20"/>
              </w:rPr>
              <w:t xml:space="preserve">The order </w:t>
            </w:r>
            <w:r>
              <w:rPr>
                <w:rFonts w:ascii="Aptos" w:hAnsi="Aptos" w:cs="Arial"/>
                <w:i/>
                <w:iCs/>
                <w:sz w:val="20"/>
                <w:szCs w:val="20"/>
              </w:rPr>
              <w:t>Nidovirales</w:t>
            </w:r>
            <w:r>
              <w:rPr>
                <w:rFonts w:ascii="Aptos" w:hAnsi="Aptos" w:cs="Arial"/>
                <w:sz w:val="20"/>
                <w:szCs w:val="20"/>
              </w:rPr>
              <w:t xml:space="preserve"> (</w:t>
            </w:r>
            <w:r>
              <w:rPr>
                <w:rFonts w:ascii="Aptos" w:hAnsi="Aptos" w:cs="Arial"/>
                <w:i/>
                <w:iCs/>
                <w:sz w:val="20"/>
                <w:szCs w:val="20"/>
              </w:rPr>
              <w:t>Riboviria</w:t>
            </w:r>
            <w:r>
              <w:rPr>
                <w:rFonts w:ascii="Aptos" w:hAnsi="Aptos" w:cs="Arial"/>
                <w:sz w:val="20"/>
                <w:szCs w:val="20"/>
              </w:rPr>
              <w:t xml:space="preserve">: </w:t>
            </w:r>
            <w:r>
              <w:rPr>
                <w:rFonts w:ascii="Aptos" w:hAnsi="Aptos" w:cs="Arial"/>
                <w:i/>
                <w:iCs/>
                <w:sz w:val="20"/>
                <w:szCs w:val="20"/>
              </w:rPr>
              <w:t>Orthornavirae</w:t>
            </w:r>
            <w:r>
              <w:rPr>
                <w:rFonts w:ascii="Aptos" w:hAnsi="Aptos" w:cs="Arial"/>
                <w:sz w:val="20"/>
                <w:szCs w:val="20"/>
              </w:rPr>
              <w:t xml:space="preserve">: </w:t>
            </w:r>
            <w:r>
              <w:rPr>
                <w:rFonts w:ascii="Aptos" w:hAnsi="Aptos" w:cs="Arial"/>
                <w:i/>
                <w:iCs/>
                <w:sz w:val="20"/>
                <w:szCs w:val="20"/>
              </w:rPr>
              <w:t>Pisuviricota</w:t>
            </w:r>
            <w:r>
              <w:rPr>
                <w:rFonts w:ascii="Aptos" w:hAnsi="Aptos" w:cs="Arial"/>
                <w:sz w:val="20"/>
                <w:szCs w:val="20"/>
              </w:rPr>
              <w:t xml:space="preserve">: </w:t>
            </w:r>
            <w:r>
              <w:rPr>
                <w:rFonts w:ascii="Aptos" w:hAnsi="Aptos" w:cs="Arial"/>
                <w:i/>
                <w:iCs/>
                <w:sz w:val="20"/>
                <w:szCs w:val="20"/>
              </w:rPr>
              <w:t>Pisoniviricetes</w:t>
            </w:r>
            <w:r>
              <w:rPr>
                <w:rFonts w:ascii="Aptos" w:hAnsi="Aptos" w:cs="Arial"/>
                <w:sz w:val="20"/>
                <w:szCs w:val="20"/>
              </w:rPr>
              <w:t>) currently includes 130 species, 79 subgenera, 48 genera, 27 subfamilies, 14 families, and 8 suborders.</w:t>
            </w:r>
          </w:p>
          <w:p w14:paraId="3AB4C6E5" w14:textId="77777777" w:rsidR="002F7B43" w:rsidRDefault="002F7B43">
            <w:pPr>
              <w:rPr>
                <w:rFonts w:ascii="Aptos" w:hAnsi="Aptos" w:cs="Arial"/>
                <w:sz w:val="20"/>
                <w:szCs w:val="20"/>
              </w:rPr>
            </w:pPr>
          </w:p>
          <w:p w14:paraId="443EFFB4" w14:textId="77777777" w:rsidR="002F7B43" w:rsidRDefault="00C7617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 xml:space="preserve">taxonomic </w:t>
            </w:r>
            <w:r>
              <w:rPr>
                <w:rFonts w:ascii="Aptos" w:hAnsi="Aptos" w:cs="Arial"/>
                <w:i/>
                <w:sz w:val="20"/>
                <w:szCs w:val="20"/>
              </w:rPr>
              <w:t>change(s):</w:t>
            </w:r>
          </w:p>
          <w:p w14:paraId="3FE4854A" w14:textId="77777777" w:rsidR="002F7B43" w:rsidRDefault="00C76170">
            <w:pPr>
              <w:rPr>
                <w:rFonts w:ascii="Aptos" w:hAnsi="Aptos" w:cs="Arial"/>
                <w:sz w:val="20"/>
                <w:szCs w:val="20"/>
              </w:rPr>
            </w:pPr>
            <w:r>
              <w:rPr>
                <w:rFonts w:ascii="Aptos" w:hAnsi="Aptos" w:cs="Arial"/>
                <w:sz w:val="20"/>
                <w:szCs w:val="20"/>
              </w:rPr>
              <w:t>Expansion of the order by 1 new family with 1 new genus and 1 new species.</w:t>
            </w:r>
          </w:p>
          <w:p w14:paraId="3CDA4D1D" w14:textId="77777777" w:rsidR="002F7B43" w:rsidRDefault="002F7B43">
            <w:pPr>
              <w:rPr>
                <w:rFonts w:ascii="Aptos" w:hAnsi="Aptos" w:cs="Arial"/>
                <w:sz w:val="20"/>
                <w:szCs w:val="20"/>
              </w:rPr>
            </w:pPr>
          </w:p>
          <w:p w14:paraId="1DCD1439" w14:textId="77777777" w:rsidR="002F7B43" w:rsidRDefault="00C76170">
            <w:pPr>
              <w:rPr>
                <w:rFonts w:ascii="Aptos" w:hAnsi="Aptos" w:cs="Arial"/>
                <w:i/>
                <w:iCs/>
                <w:sz w:val="20"/>
                <w:szCs w:val="20"/>
              </w:rPr>
            </w:pPr>
            <w:r>
              <w:rPr>
                <w:rFonts w:ascii="Aptos" w:hAnsi="Aptos" w:cs="Arial"/>
                <w:i/>
                <w:iCs/>
                <w:sz w:val="20"/>
                <w:szCs w:val="20"/>
              </w:rPr>
              <w:t>Demarcation criteria for new taxon/taxa:</w:t>
            </w:r>
          </w:p>
          <w:p w14:paraId="5F8D9B82" w14:textId="77777777" w:rsidR="002F7B43" w:rsidRDefault="00C76170">
            <w:pPr>
              <w:rPr>
                <w:rFonts w:ascii="Aptos" w:hAnsi="Aptos" w:cs="Arial"/>
                <w:i/>
                <w:iCs/>
                <w:sz w:val="20"/>
                <w:szCs w:val="20"/>
              </w:rPr>
            </w:pPr>
            <w:r>
              <w:rPr>
                <w:rFonts w:ascii="Aptos" w:hAnsi="Aptos" w:cs="Arial"/>
                <w:sz w:val="20"/>
                <w:szCs w:val="20"/>
              </w:rPr>
              <w:t xml:space="preserve">For demarcation at the suborder and family rank, we used patristic pairwise distances (PPD) that were calculated using FastTree </w:t>
            </w:r>
            <w:r>
              <w:rPr>
                <w:rFonts w:ascii="Aptos" w:hAnsi="Aptos" w:cs="Arial"/>
                <w:sz w:val="20"/>
                <w:szCs w:val="20"/>
              </w:rPr>
              <w:t>2.1.4 SSE3 ML phylogeny based on a multiple sequence alignment (MSA) of five concatenated protein domains (3CLpro, NiRAN, RdRp, ZBD and HEL1). Commonly, the PPD thresholds are selected as local minima in the clustering cost (CC) distribution, with CC=0 cor</w:t>
            </w:r>
            <w:r>
              <w:rPr>
                <w:rFonts w:ascii="Aptos" w:hAnsi="Aptos" w:cs="Arial"/>
                <w:sz w:val="20"/>
                <w:szCs w:val="20"/>
              </w:rPr>
              <w:t xml:space="preserve">responding to an optimal solution (when available) without any violating distances (see below for details). </w:t>
            </w:r>
            <w:r>
              <w:rPr>
                <w:rFonts w:ascii="Aptos" w:hAnsi="Aptos" w:cs="Arial"/>
                <w:iCs/>
                <w:sz w:val="20"/>
                <w:szCs w:val="20"/>
              </w:rPr>
              <w:t>Only one virus is proposed to be classified in a new virus family. Consequently, species and genus demarcation criteria were left undefined.</w:t>
            </w:r>
          </w:p>
          <w:p w14:paraId="5693AB08" w14:textId="77777777" w:rsidR="002F7B43" w:rsidRDefault="002F7B43">
            <w:pPr>
              <w:rPr>
                <w:rFonts w:ascii="Aptos" w:hAnsi="Aptos" w:cs="Arial"/>
                <w:sz w:val="20"/>
                <w:szCs w:val="20"/>
              </w:rPr>
            </w:pPr>
          </w:p>
          <w:p w14:paraId="7A1545D1" w14:textId="77777777" w:rsidR="002F7B43" w:rsidRDefault="00C76170">
            <w:pPr>
              <w:pStyle w:val="BodyTextIndent"/>
              <w:ind w:left="0" w:firstLine="0"/>
              <w:rPr>
                <w:rFonts w:ascii="Aptos" w:hAnsi="Aptos" w:cs="Arial"/>
                <w:color w:val="000000"/>
                <w:sz w:val="20"/>
              </w:rPr>
            </w:pPr>
            <w:r>
              <w:rPr>
                <w:rFonts w:ascii="Aptos" w:hAnsi="Aptos" w:cs="Arial"/>
                <w:i/>
                <w:sz w:val="20"/>
              </w:rPr>
              <w:t>Justif</w:t>
            </w:r>
            <w:r>
              <w:rPr>
                <w:rFonts w:ascii="Aptos" w:hAnsi="Aptos" w:cs="Arial"/>
                <w:i/>
                <w:sz w:val="20"/>
              </w:rPr>
              <w:t>ication</w:t>
            </w:r>
            <w:r>
              <w:rPr>
                <w:rFonts w:ascii="Aptos" w:hAnsi="Aptos" w:cs="Arial"/>
                <w:sz w:val="20"/>
              </w:rPr>
              <w:t>:</w:t>
            </w:r>
          </w:p>
          <w:p w14:paraId="1D24630E" w14:textId="77777777" w:rsidR="002F7B43" w:rsidRDefault="00C76170">
            <w:pPr>
              <w:pStyle w:val="BodyTextIndent"/>
              <w:ind w:left="0" w:firstLine="0"/>
              <w:rPr>
                <w:rFonts w:ascii="Aptos" w:hAnsi="Aptos" w:cs="Arial"/>
                <w:color w:val="000000"/>
                <w:sz w:val="20"/>
              </w:rPr>
            </w:pPr>
            <w:r>
              <w:rPr>
                <w:rFonts w:ascii="Aptos" w:hAnsi="Aptos" w:cs="Arial"/>
                <w:color w:val="000000"/>
                <w:sz w:val="20"/>
              </w:rPr>
              <w:t xml:space="preserve">Establishment of the new taxa within the order </w:t>
            </w:r>
            <w:r>
              <w:rPr>
                <w:rFonts w:ascii="Aptos" w:hAnsi="Aptos" w:cs="Arial"/>
                <w:i/>
                <w:iCs/>
                <w:color w:val="000000"/>
                <w:sz w:val="20"/>
              </w:rPr>
              <w:t>Nidovirales</w:t>
            </w:r>
            <w:r>
              <w:rPr>
                <w:rFonts w:ascii="Aptos" w:hAnsi="Aptos" w:cs="Arial"/>
                <w:color w:val="000000"/>
                <w:sz w:val="20"/>
              </w:rPr>
              <w:t xml:space="preserve"> is based </w:t>
            </w:r>
            <w:r>
              <w:rPr>
                <w:rFonts w:ascii="Aptos" w:eastAsia="Arial" w:hAnsi="Aptos" w:cs="Arial"/>
                <w:color w:val="000000"/>
                <w:sz w:val="20"/>
                <w:lang w:eastAsia="en-US"/>
              </w:rPr>
              <w:t>on the presence of five nidovirus-wide conserved replicative protein domains and using these domains for phylogeny analysis and for pairwise distance-based hierarchical classifica</w:t>
            </w:r>
            <w:r>
              <w:rPr>
                <w:rFonts w:ascii="Aptos" w:eastAsia="Arial" w:hAnsi="Aptos" w:cs="Arial"/>
                <w:color w:val="000000"/>
                <w:sz w:val="20"/>
                <w:lang w:eastAsia="en-US"/>
              </w:rPr>
              <w:t>tion assisted by DivErsity pArtitioning by hieRarchical Clustering (DEmARC)</w:t>
            </w:r>
            <w:r>
              <w:rPr>
                <w:rFonts w:ascii="Aptos" w:hAnsi="Aptos" w:cs="Arial"/>
                <w:color w:val="000000"/>
                <w:sz w:val="20"/>
              </w:rPr>
              <w:t>.</w:t>
            </w:r>
          </w:p>
        </w:tc>
      </w:tr>
    </w:tbl>
    <w:p w14:paraId="40F414A3" w14:textId="77777777" w:rsidR="002F7B43" w:rsidRDefault="002F7B43">
      <w:pPr>
        <w:rPr>
          <w:rFonts w:ascii="Aptos" w:hAnsi="Aptos" w:cs="Arial"/>
          <w:color w:val="0000FF"/>
          <w:sz w:val="20"/>
          <w:szCs w:val="20"/>
        </w:rPr>
      </w:pPr>
    </w:p>
    <w:p w14:paraId="6EC876D2" w14:textId="77777777" w:rsidR="002F7B43" w:rsidRDefault="002F7B43">
      <w:pPr>
        <w:rPr>
          <w:rFonts w:ascii="Aptos" w:hAnsi="Aptos" w:cs="Arial"/>
          <w:color w:val="0000FF"/>
          <w:sz w:val="20"/>
          <w:szCs w:val="20"/>
        </w:rPr>
      </w:pPr>
    </w:p>
    <w:tbl>
      <w:tblPr>
        <w:tblStyle w:val="TableGrid"/>
        <w:tblW w:w="8926" w:type="dxa"/>
        <w:tblInd w:w="113" w:type="dxa"/>
        <w:tblLayout w:type="fixed"/>
        <w:tblLook w:val="04A0" w:firstRow="1" w:lastRow="0" w:firstColumn="1" w:lastColumn="0" w:noHBand="0" w:noVBand="1"/>
      </w:tblPr>
      <w:tblGrid>
        <w:gridCol w:w="8926"/>
      </w:tblGrid>
      <w:tr w:rsidR="002F7B43" w14:paraId="1C6E2BA7" w14:textId="77777777">
        <w:tc>
          <w:tcPr>
            <w:tcW w:w="8926" w:type="dxa"/>
            <w:shd w:val="clear" w:color="auto" w:fill="F2F2F2" w:themeFill="background1" w:themeFillShade="F2"/>
          </w:tcPr>
          <w:p w14:paraId="2F6A8082" w14:textId="6A1FB3BD" w:rsidR="002F7B43" w:rsidRDefault="00C76170">
            <w:pPr>
              <w:pStyle w:val="BodyTextIndent"/>
              <w:numPr>
                <w:ilvl w:val="0"/>
                <w:numId w:val="2"/>
              </w:numPr>
              <w:rPr>
                <w:rFonts w:ascii="Aptos" w:hAnsi="Aptos" w:cs="Arial"/>
                <w:color w:val="0000FF"/>
                <w:sz w:val="20"/>
              </w:rPr>
            </w:pPr>
            <w:r>
              <w:rPr>
                <w:rFonts w:ascii="Aptos" w:hAnsi="Aptos" w:cs="Arial"/>
                <w:b/>
                <w:color w:val="000000"/>
                <w:sz w:val="20"/>
              </w:rPr>
              <w:t xml:space="preserve">Text of Taxonomy proposal:  </w:t>
            </w:r>
          </w:p>
          <w:p w14:paraId="23D0CDA6" w14:textId="77777777" w:rsidR="002F7B43" w:rsidRDefault="002F7B43">
            <w:pPr>
              <w:pStyle w:val="BodyTextIndent"/>
              <w:ind w:left="720" w:firstLine="0"/>
              <w:rPr>
                <w:rFonts w:ascii="Aptos" w:hAnsi="Aptos" w:cs="Arial"/>
                <w:color w:val="0000FF"/>
                <w:sz w:val="20"/>
              </w:rPr>
            </w:pPr>
          </w:p>
        </w:tc>
      </w:tr>
      <w:tr w:rsidR="002F7B43" w14:paraId="638E220B" w14:textId="77777777">
        <w:tc>
          <w:tcPr>
            <w:tcW w:w="8926" w:type="dxa"/>
          </w:tcPr>
          <w:p w14:paraId="498D710C" w14:textId="77777777" w:rsidR="002F7B43" w:rsidRDefault="002F7B43">
            <w:pPr>
              <w:rPr>
                <w:rFonts w:ascii="Aptos" w:hAnsi="Aptos" w:cs="Arial"/>
                <w:b/>
                <w:i/>
                <w:sz w:val="20"/>
                <w:szCs w:val="20"/>
              </w:rPr>
            </w:pPr>
          </w:p>
          <w:p w14:paraId="5236A8DC" w14:textId="77777777" w:rsidR="002F7B43" w:rsidRDefault="00C7617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15F8CF0D" w14:textId="77777777" w:rsidR="002F7B43" w:rsidRDefault="00C76170">
            <w:pPr>
              <w:rPr>
                <w:rFonts w:ascii="Aptos" w:hAnsi="Aptos" w:cs="Arial"/>
                <w:sz w:val="20"/>
                <w:szCs w:val="20"/>
              </w:rPr>
            </w:pPr>
            <w:r>
              <w:rPr>
                <w:rFonts w:ascii="Aptos" w:hAnsi="Aptos" w:cs="Arial"/>
                <w:sz w:val="20"/>
                <w:szCs w:val="20"/>
              </w:rPr>
              <w:t xml:space="preserve">The order </w:t>
            </w:r>
            <w:r>
              <w:rPr>
                <w:rFonts w:ascii="Aptos" w:hAnsi="Aptos" w:cs="Arial"/>
                <w:i/>
                <w:iCs/>
                <w:sz w:val="20"/>
                <w:szCs w:val="20"/>
              </w:rPr>
              <w:t>Nidovirales</w:t>
            </w:r>
            <w:r>
              <w:rPr>
                <w:rFonts w:ascii="Aptos" w:hAnsi="Aptos" w:cs="Arial"/>
                <w:sz w:val="20"/>
                <w:szCs w:val="20"/>
              </w:rPr>
              <w:t xml:space="preserve"> (</w:t>
            </w:r>
            <w:r>
              <w:rPr>
                <w:rFonts w:ascii="Aptos" w:hAnsi="Aptos" w:cs="Arial"/>
                <w:i/>
                <w:iCs/>
                <w:sz w:val="20"/>
                <w:szCs w:val="20"/>
              </w:rPr>
              <w:t>Riboviria</w:t>
            </w:r>
            <w:r>
              <w:rPr>
                <w:rFonts w:ascii="Aptos" w:hAnsi="Aptos" w:cs="Arial"/>
                <w:sz w:val="20"/>
                <w:szCs w:val="20"/>
              </w:rPr>
              <w:t xml:space="preserve">: </w:t>
            </w:r>
            <w:r>
              <w:rPr>
                <w:rFonts w:ascii="Aptos" w:hAnsi="Aptos" w:cs="Arial"/>
                <w:i/>
                <w:iCs/>
                <w:sz w:val="20"/>
                <w:szCs w:val="20"/>
              </w:rPr>
              <w:t>Orthornavirae</w:t>
            </w:r>
            <w:r>
              <w:rPr>
                <w:rFonts w:ascii="Aptos" w:hAnsi="Aptos" w:cs="Arial"/>
                <w:sz w:val="20"/>
                <w:szCs w:val="20"/>
              </w:rPr>
              <w:t xml:space="preserve">: </w:t>
            </w:r>
            <w:r>
              <w:rPr>
                <w:rFonts w:ascii="Aptos" w:hAnsi="Aptos" w:cs="Arial"/>
                <w:i/>
                <w:iCs/>
                <w:sz w:val="20"/>
                <w:szCs w:val="20"/>
              </w:rPr>
              <w:t>Pisuviricota</w:t>
            </w:r>
            <w:r>
              <w:rPr>
                <w:rFonts w:ascii="Aptos" w:hAnsi="Aptos" w:cs="Arial"/>
                <w:sz w:val="20"/>
                <w:szCs w:val="20"/>
              </w:rPr>
              <w:t xml:space="preserve">: </w:t>
            </w:r>
            <w:r>
              <w:rPr>
                <w:rFonts w:ascii="Aptos" w:hAnsi="Aptos" w:cs="Arial"/>
                <w:i/>
                <w:iCs/>
                <w:sz w:val="20"/>
                <w:szCs w:val="20"/>
              </w:rPr>
              <w:t>Pisoniviricetes</w:t>
            </w:r>
            <w:r>
              <w:rPr>
                <w:rFonts w:ascii="Aptos" w:hAnsi="Aptos" w:cs="Arial"/>
                <w:sz w:val="20"/>
                <w:szCs w:val="20"/>
              </w:rPr>
              <w:t>) currently includes 130 species from 79 subgenera, 48 genera, 27 subfamilies, 14 families, and 8 suborders. Six of the established families (</w:t>
            </w:r>
            <w:r>
              <w:rPr>
                <w:rFonts w:ascii="Aptos" w:hAnsi="Aptos" w:cs="Arial"/>
                <w:i/>
                <w:iCs/>
                <w:sz w:val="20"/>
                <w:szCs w:val="20"/>
              </w:rPr>
              <w:t>Abyssoviridae</w:t>
            </w:r>
            <w:r>
              <w:rPr>
                <w:rFonts w:ascii="Aptos" w:hAnsi="Aptos" w:cs="Arial"/>
                <w:sz w:val="20"/>
                <w:szCs w:val="20"/>
              </w:rPr>
              <w:t xml:space="preserve">, </w:t>
            </w:r>
            <w:r>
              <w:rPr>
                <w:rFonts w:ascii="Aptos" w:hAnsi="Aptos" w:cs="Arial"/>
                <w:i/>
                <w:iCs/>
                <w:sz w:val="20"/>
                <w:szCs w:val="20"/>
              </w:rPr>
              <w:t>Medioniviridae</w:t>
            </w:r>
            <w:r>
              <w:rPr>
                <w:rFonts w:ascii="Aptos" w:hAnsi="Aptos" w:cs="Arial"/>
                <w:sz w:val="20"/>
                <w:szCs w:val="20"/>
              </w:rPr>
              <w:t xml:space="preserve">, </w:t>
            </w:r>
            <w:r>
              <w:rPr>
                <w:rFonts w:ascii="Aptos" w:hAnsi="Aptos" w:cs="Arial"/>
                <w:i/>
                <w:iCs/>
                <w:sz w:val="20"/>
                <w:szCs w:val="20"/>
              </w:rPr>
              <w:t>Mesoniviridae</w:t>
            </w:r>
            <w:r>
              <w:rPr>
                <w:rFonts w:ascii="Aptos" w:hAnsi="Aptos" w:cs="Arial"/>
                <w:sz w:val="20"/>
                <w:szCs w:val="20"/>
              </w:rPr>
              <w:t xml:space="preserve">, </w:t>
            </w:r>
            <w:r>
              <w:rPr>
                <w:rFonts w:ascii="Aptos" w:hAnsi="Aptos" w:cs="Arial"/>
                <w:i/>
                <w:iCs/>
                <w:sz w:val="20"/>
                <w:szCs w:val="20"/>
              </w:rPr>
              <w:t>Mononiviridae</w:t>
            </w:r>
            <w:r>
              <w:rPr>
                <w:rFonts w:ascii="Aptos" w:hAnsi="Aptos" w:cs="Arial"/>
                <w:sz w:val="20"/>
                <w:szCs w:val="20"/>
              </w:rPr>
              <w:t xml:space="preserve">, </w:t>
            </w:r>
            <w:r>
              <w:rPr>
                <w:rFonts w:ascii="Aptos" w:hAnsi="Aptos" w:cs="Arial"/>
                <w:i/>
                <w:iCs/>
                <w:sz w:val="20"/>
                <w:szCs w:val="20"/>
              </w:rPr>
              <w:t>Roniviridae</w:t>
            </w:r>
            <w:r>
              <w:rPr>
                <w:rFonts w:ascii="Aptos" w:hAnsi="Aptos" w:cs="Arial"/>
                <w:sz w:val="20"/>
                <w:szCs w:val="20"/>
              </w:rPr>
              <w:t xml:space="preserve">, </w:t>
            </w:r>
            <w:r>
              <w:rPr>
                <w:rFonts w:ascii="Aptos" w:hAnsi="Aptos" w:cs="Arial"/>
                <w:i/>
                <w:iCs/>
                <w:sz w:val="20"/>
                <w:szCs w:val="20"/>
              </w:rPr>
              <w:t>Euroniviridae</w:t>
            </w:r>
            <w:r>
              <w:rPr>
                <w:rFonts w:ascii="Aptos" w:hAnsi="Aptos" w:cs="Arial"/>
                <w:sz w:val="20"/>
                <w:szCs w:val="20"/>
              </w:rPr>
              <w:t>) from four suborders exclusively harbor viruses with invertebrate hosts, whereas the other 8 families (</w:t>
            </w:r>
            <w:r>
              <w:rPr>
                <w:rFonts w:ascii="Aptos" w:hAnsi="Aptos" w:cs="Arial"/>
                <w:i/>
                <w:iCs/>
                <w:sz w:val="20"/>
                <w:szCs w:val="20"/>
              </w:rPr>
              <w:t>Arteriviridae</w:t>
            </w:r>
            <w:r>
              <w:rPr>
                <w:rFonts w:ascii="Aptos" w:hAnsi="Aptos" w:cs="Arial"/>
                <w:sz w:val="20"/>
                <w:szCs w:val="20"/>
              </w:rPr>
              <w:t xml:space="preserve">, </w:t>
            </w:r>
            <w:r>
              <w:rPr>
                <w:rFonts w:ascii="Aptos" w:hAnsi="Aptos" w:cs="Arial"/>
                <w:i/>
                <w:iCs/>
                <w:sz w:val="20"/>
                <w:szCs w:val="20"/>
              </w:rPr>
              <w:t>Cremegaviridae</w:t>
            </w:r>
            <w:r>
              <w:rPr>
                <w:rFonts w:ascii="Aptos" w:hAnsi="Aptos" w:cs="Arial"/>
                <w:sz w:val="20"/>
                <w:szCs w:val="20"/>
              </w:rPr>
              <w:t xml:space="preserve">, </w:t>
            </w:r>
            <w:r>
              <w:rPr>
                <w:rFonts w:ascii="Aptos" w:hAnsi="Aptos" w:cs="Arial"/>
                <w:i/>
                <w:iCs/>
                <w:sz w:val="20"/>
                <w:szCs w:val="20"/>
              </w:rPr>
              <w:t>Gresnaviridae</w:t>
            </w:r>
            <w:r>
              <w:rPr>
                <w:rFonts w:ascii="Aptos" w:hAnsi="Aptos" w:cs="Arial"/>
                <w:sz w:val="20"/>
                <w:szCs w:val="20"/>
              </w:rPr>
              <w:t xml:space="preserve">, </w:t>
            </w:r>
            <w:r>
              <w:rPr>
                <w:rFonts w:ascii="Aptos" w:hAnsi="Aptos" w:cs="Arial"/>
                <w:i/>
                <w:iCs/>
                <w:sz w:val="20"/>
                <w:szCs w:val="20"/>
              </w:rPr>
              <w:t>Olifoviridae</w:t>
            </w:r>
            <w:r>
              <w:rPr>
                <w:rFonts w:ascii="Aptos" w:hAnsi="Aptos" w:cs="Arial"/>
                <w:sz w:val="20"/>
                <w:szCs w:val="20"/>
              </w:rPr>
              <w:t xml:space="preserve">, </w:t>
            </w:r>
            <w:r>
              <w:rPr>
                <w:rFonts w:ascii="Aptos" w:hAnsi="Aptos" w:cs="Arial"/>
                <w:i/>
                <w:iCs/>
                <w:sz w:val="20"/>
                <w:szCs w:val="20"/>
              </w:rPr>
              <w:t>Coronaviridae</w:t>
            </w:r>
            <w:r>
              <w:rPr>
                <w:rFonts w:ascii="Aptos" w:hAnsi="Aptos" w:cs="Arial"/>
                <w:sz w:val="20"/>
                <w:szCs w:val="20"/>
              </w:rPr>
              <w:t xml:space="preserve">, </w:t>
            </w:r>
            <w:r>
              <w:rPr>
                <w:rFonts w:ascii="Aptos" w:hAnsi="Aptos" w:cs="Arial"/>
                <w:i/>
                <w:iCs/>
                <w:sz w:val="20"/>
                <w:szCs w:val="20"/>
              </w:rPr>
              <w:t>Naghoshaviridae</w:t>
            </w:r>
            <w:r>
              <w:rPr>
                <w:rFonts w:ascii="Aptos" w:hAnsi="Aptos" w:cs="Arial"/>
                <w:sz w:val="20"/>
                <w:szCs w:val="20"/>
              </w:rPr>
              <w:t xml:space="preserve">, </w:t>
            </w:r>
            <w:r>
              <w:rPr>
                <w:rFonts w:ascii="Aptos" w:hAnsi="Aptos" w:cs="Arial"/>
                <w:i/>
                <w:iCs/>
                <w:sz w:val="20"/>
                <w:szCs w:val="20"/>
              </w:rPr>
              <w:t>Nanhypoviridae</w:t>
            </w:r>
            <w:r>
              <w:rPr>
                <w:rFonts w:ascii="Aptos" w:hAnsi="Aptos" w:cs="Arial"/>
                <w:sz w:val="20"/>
                <w:szCs w:val="20"/>
              </w:rPr>
              <w:t xml:space="preserve">, </w:t>
            </w:r>
            <w:r>
              <w:rPr>
                <w:rFonts w:ascii="Aptos" w:hAnsi="Aptos" w:cs="Arial"/>
                <w:i/>
                <w:iCs/>
                <w:sz w:val="20"/>
                <w:szCs w:val="20"/>
              </w:rPr>
              <w:t>Tob</w:t>
            </w:r>
            <w:r>
              <w:rPr>
                <w:rFonts w:ascii="Aptos" w:hAnsi="Aptos" w:cs="Arial"/>
                <w:i/>
                <w:iCs/>
                <w:sz w:val="20"/>
                <w:szCs w:val="20"/>
              </w:rPr>
              <w:t>aniviridae</w:t>
            </w:r>
            <w:r>
              <w:rPr>
                <w:rFonts w:ascii="Aptos" w:hAnsi="Aptos" w:cs="Arial"/>
                <w:sz w:val="20"/>
                <w:szCs w:val="20"/>
              </w:rPr>
              <w:t>) encompass viruses with vertebrate hosts.</w:t>
            </w:r>
          </w:p>
          <w:p w14:paraId="052BD202" w14:textId="77777777" w:rsidR="002F7B43" w:rsidRDefault="002F7B43">
            <w:pPr>
              <w:rPr>
                <w:rFonts w:ascii="Aptos" w:hAnsi="Aptos" w:cs="Arial"/>
                <w:sz w:val="20"/>
                <w:szCs w:val="20"/>
              </w:rPr>
            </w:pPr>
          </w:p>
          <w:p w14:paraId="7D24579C" w14:textId="77777777" w:rsidR="002F7B43" w:rsidRDefault="00C7617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w:t>
            </w:r>
          </w:p>
          <w:p w14:paraId="76420769" w14:textId="3BBAD07F" w:rsidR="002F7B43" w:rsidRDefault="00C76170">
            <w:pPr>
              <w:rPr>
                <w:rFonts w:ascii="Aptos" w:hAnsi="Aptos" w:cs="Arial"/>
                <w:sz w:val="20"/>
                <w:szCs w:val="20"/>
              </w:rPr>
            </w:pPr>
            <w:r>
              <w:rPr>
                <w:rFonts w:ascii="Aptos" w:hAnsi="Aptos" w:cs="Arial"/>
                <w:sz w:val="20"/>
                <w:szCs w:val="20"/>
              </w:rPr>
              <w:t xml:space="preserve">We propose the expansion of the order </w:t>
            </w:r>
            <w:r>
              <w:rPr>
                <w:rFonts w:ascii="Aptos" w:hAnsi="Aptos" w:cs="Arial"/>
                <w:i/>
                <w:iCs/>
                <w:sz w:val="20"/>
                <w:szCs w:val="20"/>
              </w:rPr>
              <w:t>Nidovirales</w:t>
            </w:r>
            <w:r>
              <w:rPr>
                <w:rFonts w:ascii="Aptos" w:hAnsi="Aptos" w:cs="Arial"/>
                <w:sz w:val="20"/>
                <w:szCs w:val="20"/>
              </w:rPr>
              <w:t xml:space="preserve"> by 1 new family with 1 new genus and 1 new species. The exemplar virus of the new species, </w:t>
            </w:r>
            <w:r w:rsidR="001254F1">
              <w:rPr>
                <w:rFonts w:ascii="Aptos" w:hAnsi="Aptos" w:cs="Arial"/>
                <w:sz w:val="20"/>
                <w:szCs w:val="20"/>
              </w:rPr>
              <w:t>g</w:t>
            </w:r>
            <w:r>
              <w:rPr>
                <w:rFonts w:ascii="Aptos" w:hAnsi="Aptos" w:cs="Arial"/>
                <w:sz w:val="20"/>
                <w:szCs w:val="20"/>
              </w:rPr>
              <w:t>lytrida</w:t>
            </w:r>
            <w:r w:rsidR="001254F1">
              <w:rPr>
                <w:rFonts w:ascii="Aptos" w:hAnsi="Aptos" w:cs="Arial"/>
                <w:sz w:val="20"/>
                <w:szCs w:val="20"/>
              </w:rPr>
              <w:t xml:space="preserve"> </w:t>
            </w:r>
            <w:r>
              <w:rPr>
                <w:rFonts w:ascii="Aptos" w:hAnsi="Aptos" w:cs="Arial"/>
                <w:sz w:val="20"/>
                <w:szCs w:val="20"/>
              </w:rPr>
              <w:t>virus 1 (GTDV-1), is associated with a pharyngeal lobes sample of a bloodworm (</w:t>
            </w:r>
            <w:r>
              <w:rPr>
                <w:rFonts w:ascii="Aptos" w:hAnsi="Aptos" w:cs="Arial"/>
                <w:i/>
                <w:iCs/>
                <w:sz w:val="20"/>
                <w:szCs w:val="20"/>
              </w:rPr>
              <w:t>Glycera tridactyla</w:t>
            </w:r>
            <w:r>
              <w:rPr>
                <w:rFonts w:ascii="Aptos" w:hAnsi="Aptos" w:cs="Arial"/>
                <w:sz w:val="20"/>
                <w:szCs w:val="20"/>
              </w:rPr>
              <w:t xml:space="preserve"> Schmarda, 1861). Since this bloodworm prays on </w:t>
            </w:r>
            <w:r>
              <w:rPr>
                <w:rFonts w:ascii="Aptos" w:hAnsi="Aptos" w:cs="Arial"/>
                <w:sz w:val="20"/>
                <w:szCs w:val="20"/>
              </w:rPr>
              <w:t>fishes, and because the virus was so far only identified in a single sample, there remains uncertainty about the host of the virus. We therefore avoided a reference to the putative host in the proposed viral taxon names. The coding-complete genome sequence</w:t>
            </w:r>
            <w:r>
              <w:rPr>
                <w:rFonts w:ascii="Aptos" w:hAnsi="Aptos" w:cs="Arial"/>
                <w:sz w:val="20"/>
                <w:szCs w:val="20"/>
              </w:rPr>
              <w:t xml:space="preserve"> of GDTV is reported in [</w:t>
            </w:r>
            <w:r>
              <w:rPr>
                <w:rFonts w:ascii="Aptos" w:hAnsi="Aptos" w:cs="Arial"/>
                <w:b/>
                <w:bCs/>
                <w:sz w:val="20"/>
                <w:szCs w:val="20"/>
              </w:rPr>
              <w:t>1</w:t>
            </w:r>
            <w:r>
              <w:rPr>
                <w:rFonts w:ascii="Aptos" w:hAnsi="Aptos" w:cs="Arial"/>
                <w:sz w:val="20"/>
                <w:szCs w:val="20"/>
              </w:rPr>
              <w:t>]. The word stem of the name for GDTV-1 (“Gly” + “trida”) is a remote reference to its host; this virus was named Glycera tridactyla tobanivirus in the original publication [</w:t>
            </w:r>
            <w:r>
              <w:rPr>
                <w:rFonts w:ascii="Aptos" w:hAnsi="Aptos" w:cs="Arial"/>
                <w:b/>
                <w:bCs/>
                <w:sz w:val="20"/>
                <w:szCs w:val="20"/>
              </w:rPr>
              <w:t>1</w:t>
            </w:r>
            <w:r>
              <w:rPr>
                <w:rFonts w:ascii="Aptos" w:hAnsi="Aptos" w:cs="Arial"/>
                <w:sz w:val="20"/>
                <w:szCs w:val="20"/>
              </w:rPr>
              <w:t xml:space="preserve">]. Phylogenetic trees with proposed classifications at </w:t>
            </w:r>
            <w:r>
              <w:rPr>
                <w:rFonts w:ascii="Aptos" w:hAnsi="Aptos" w:cs="Arial"/>
                <w:sz w:val="20"/>
                <w:szCs w:val="20"/>
              </w:rPr>
              <w:t xml:space="preserve">the suborder and family ranks are shown in </w:t>
            </w:r>
            <w:r>
              <w:rPr>
                <w:rFonts w:ascii="Aptos" w:hAnsi="Aptos" w:cs="Arial"/>
                <w:b/>
                <w:bCs/>
                <w:sz w:val="20"/>
                <w:szCs w:val="20"/>
              </w:rPr>
              <w:t>Figures 1-2</w:t>
            </w:r>
            <w:r>
              <w:rPr>
                <w:rFonts w:ascii="Aptos" w:hAnsi="Aptos" w:cs="Arial"/>
                <w:sz w:val="20"/>
                <w:szCs w:val="20"/>
              </w:rPr>
              <w:t>.</w:t>
            </w:r>
          </w:p>
          <w:p w14:paraId="5E233E34" w14:textId="77777777" w:rsidR="002F7B43" w:rsidRDefault="002F7B43">
            <w:pPr>
              <w:rPr>
                <w:rFonts w:ascii="Aptos" w:hAnsi="Aptos" w:cs="Arial"/>
                <w:sz w:val="20"/>
                <w:szCs w:val="20"/>
              </w:rPr>
            </w:pPr>
          </w:p>
          <w:p w14:paraId="091642DC" w14:textId="77777777" w:rsidR="002F7B43" w:rsidRDefault="00C76170">
            <w:pPr>
              <w:rPr>
                <w:rFonts w:ascii="Aptos" w:hAnsi="Aptos" w:cs="Arial"/>
                <w:i/>
                <w:sz w:val="20"/>
                <w:szCs w:val="20"/>
              </w:rPr>
            </w:pPr>
            <w:r>
              <w:rPr>
                <w:rFonts w:ascii="Aptos" w:hAnsi="Aptos" w:cs="Arial"/>
                <w:i/>
                <w:sz w:val="20"/>
                <w:szCs w:val="20"/>
              </w:rPr>
              <w:t>Demarcation criteria for new taxon/taxa:</w:t>
            </w:r>
          </w:p>
          <w:p w14:paraId="360FAFF7" w14:textId="77777777" w:rsidR="002F7B43" w:rsidRDefault="00C76170">
            <w:pPr>
              <w:rPr>
                <w:rFonts w:ascii="Aptos" w:hAnsi="Aptos" w:cs="Arial"/>
                <w:sz w:val="20"/>
                <w:szCs w:val="20"/>
              </w:rPr>
            </w:pPr>
            <w:r>
              <w:rPr>
                <w:rFonts w:ascii="Aptos" w:hAnsi="Aptos" w:cs="Arial"/>
                <w:sz w:val="20"/>
                <w:szCs w:val="20"/>
              </w:rPr>
              <w:t>Demarcation of family and suborder ranks was established using coding-complete nidovirus genome sequences and thresholds of, respectively, 3.270 and 4.870 pat</w:t>
            </w:r>
            <w:r>
              <w:rPr>
                <w:rFonts w:ascii="Aptos" w:hAnsi="Aptos" w:cs="Arial"/>
                <w:sz w:val="20"/>
                <w:szCs w:val="20"/>
              </w:rPr>
              <w:t>ristic pairwise distance (PPD) that were calculated for the concatenated amino acid sequences of five order-wide conserved domains 3CL-like protease (3CLpro), nidovirus nucleotidyltransferase (NiRAN), RNA-directed RNA polymerase (RdRp), Zinc-binding domain</w:t>
            </w:r>
            <w:r>
              <w:rPr>
                <w:rFonts w:ascii="Aptos" w:hAnsi="Aptos" w:cs="Arial"/>
                <w:sz w:val="20"/>
                <w:szCs w:val="20"/>
              </w:rPr>
              <w:t xml:space="preserve"> (ZBD) and superfamily 1 helicase (HEL1). The two PPD thresholds correspond to a pairwise uncorrected distance of 65.8% and 75.5%, respectively. The intra-cluster PPD ranges and PPD thresholds are shown in </w:t>
            </w:r>
            <w:r>
              <w:rPr>
                <w:rFonts w:ascii="Aptos" w:hAnsi="Aptos" w:cs="Arial"/>
                <w:b/>
                <w:bCs/>
                <w:sz w:val="20"/>
                <w:szCs w:val="20"/>
              </w:rPr>
              <w:t>Figure 3</w:t>
            </w:r>
            <w:r>
              <w:rPr>
                <w:rFonts w:ascii="Aptos" w:hAnsi="Aptos" w:cs="Arial"/>
                <w:sz w:val="20"/>
                <w:szCs w:val="20"/>
              </w:rPr>
              <w:t>. The two PPD thresholds were chosen by mi</w:t>
            </w:r>
            <w:r>
              <w:rPr>
                <w:rFonts w:ascii="Aptos" w:hAnsi="Aptos" w:cs="Arial"/>
                <w:sz w:val="20"/>
                <w:szCs w:val="20"/>
              </w:rPr>
              <w:t>nimizing the optimization criterion, clustering cost (CC), which was zero (suborder rank) or very close to zero (0.00001, family rank). The newly proposed family is represented by a single</w:t>
            </w:r>
            <w:r>
              <w:rPr>
                <w:rFonts w:ascii="Aptos" w:hAnsi="Aptos" w:cs="Arial"/>
                <w:iCs/>
                <w:sz w:val="20"/>
                <w:szCs w:val="20"/>
              </w:rPr>
              <w:t xml:space="preserve"> virus. </w:t>
            </w:r>
            <w:r>
              <w:rPr>
                <w:rFonts w:ascii="Aptos" w:hAnsi="Aptos" w:cs="Arial"/>
                <w:iCs/>
                <w:sz w:val="20"/>
                <w:szCs w:val="20"/>
              </w:rPr>
              <w:lastRenderedPageBreak/>
              <w:t>Consequently, species and genus demarcation criteria were no</w:t>
            </w:r>
            <w:r>
              <w:rPr>
                <w:rFonts w:ascii="Aptos" w:hAnsi="Aptos" w:cs="Arial"/>
                <w:iCs/>
                <w:sz w:val="20"/>
                <w:szCs w:val="20"/>
              </w:rPr>
              <w:t>t considered.</w:t>
            </w:r>
          </w:p>
          <w:p w14:paraId="12DE597F" w14:textId="77777777" w:rsidR="002F7B43" w:rsidRDefault="002F7B43">
            <w:pPr>
              <w:rPr>
                <w:rFonts w:ascii="Aptos" w:hAnsi="Aptos" w:cs="Arial"/>
                <w:i/>
                <w:sz w:val="20"/>
                <w:szCs w:val="20"/>
              </w:rPr>
            </w:pPr>
          </w:p>
          <w:p w14:paraId="771C0A8A" w14:textId="77777777" w:rsidR="002F7B43" w:rsidRDefault="00C76170">
            <w:pPr>
              <w:rPr>
                <w:rFonts w:ascii="Aptos" w:hAnsi="Aptos" w:cs="Arial"/>
                <w:sz w:val="20"/>
                <w:szCs w:val="20"/>
              </w:rPr>
            </w:pPr>
            <w:r>
              <w:rPr>
                <w:rFonts w:ascii="Aptos" w:hAnsi="Aptos" w:cs="Arial"/>
                <w:i/>
                <w:sz w:val="20"/>
                <w:szCs w:val="20"/>
              </w:rPr>
              <w:t>Justification</w:t>
            </w:r>
            <w:r>
              <w:rPr>
                <w:rFonts w:ascii="Aptos" w:hAnsi="Aptos" w:cs="Arial"/>
                <w:sz w:val="20"/>
                <w:szCs w:val="20"/>
              </w:rPr>
              <w:t>:</w:t>
            </w:r>
          </w:p>
          <w:p w14:paraId="09CD5330" w14:textId="77777777" w:rsidR="002F7B43" w:rsidRDefault="00C76170">
            <w:pPr>
              <w:rPr>
                <w:rFonts w:ascii="Aptos" w:hAnsi="Aptos" w:cs="Arial"/>
                <w:sz w:val="20"/>
                <w:szCs w:val="20"/>
              </w:rPr>
            </w:pPr>
            <w:r>
              <w:rPr>
                <w:rFonts w:ascii="Aptos" w:hAnsi="Aptos" w:cs="Arial"/>
                <w:sz w:val="20"/>
                <w:szCs w:val="20"/>
              </w:rPr>
              <w:t xml:space="preserve">Here, we used the same approach as in an accompanying proposal about the classification of novel invertebrate nidoviruses into </w:t>
            </w:r>
            <w:r>
              <w:rPr>
                <w:rFonts w:ascii="Aptos" w:hAnsi="Aptos" w:cs="Arial"/>
                <w:color w:val="000000" w:themeColor="text1"/>
                <w:sz w:val="20"/>
                <w:szCs w:val="20"/>
              </w:rPr>
              <w:t>8 new families, 34 new genera and 43 new species. Due to considerable sequence divergence, we analy</w:t>
            </w:r>
            <w:r>
              <w:rPr>
                <w:rFonts w:ascii="Aptos" w:hAnsi="Aptos" w:cs="Arial"/>
                <w:color w:val="000000" w:themeColor="text1"/>
                <w:sz w:val="20"/>
                <w:szCs w:val="20"/>
              </w:rPr>
              <w:t>zed invertebrate nidoviruses (accompanying proposal) and a subset of vertebrate nidoviruses (this proposal) individually, following their separation into two main branches in the nidovirus phylogeny.</w:t>
            </w:r>
          </w:p>
          <w:p w14:paraId="24FD0014" w14:textId="77777777" w:rsidR="002F7B43" w:rsidRDefault="002F7B43">
            <w:pPr>
              <w:rPr>
                <w:rFonts w:ascii="Aptos" w:hAnsi="Aptos" w:cs="Arial"/>
                <w:sz w:val="20"/>
                <w:szCs w:val="20"/>
              </w:rPr>
            </w:pPr>
          </w:p>
          <w:p w14:paraId="18F8B61E" w14:textId="77777777" w:rsidR="002F7B43" w:rsidRDefault="00C76170">
            <w:pPr>
              <w:rPr>
                <w:rFonts w:ascii="Aptos" w:hAnsi="Aptos" w:cs="Arial"/>
                <w:sz w:val="20"/>
                <w:szCs w:val="20"/>
              </w:rPr>
            </w:pPr>
            <w:r>
              <w:rPr>
                <w:rFonts w:ascii="Aptos" w:hAnsi="Aptos" w:cs="Arial"/>
                <w:sz w:val="20"/>
                <w:szCs w:val="20"/>
              </w:rPr>
              <w:t>The single virus classified in this proposal, GTDV-1, i</w:t>
            </w:r>
            <w:r>
              <w:rPr>
                <w:rFonts w:ascii="Aptos" w:hAnsi="Aptos" w:cs="Arial"/>
                <w:sz w:val="20"/>
                <w:szCs w:val="20"/>
              </w:rPr>
              <w:t>s recognized as a nidovirus based on the presence of five conserved replicative domains (3CLpro, NiRAN, RdRp, ZBD and HEL1) (</w:t>
            </w:r>
            <w:r>
              <w:rPr>
                <w:rFonts w:ascii="Aptos" w:hAnsi="Aptos" w:cs="Arial"/>
                <w:b/>
                <w:bCs/>
                <w:sz w:val="20"/>
                <w:szCs w:val="20"/>
              </w:rPr>
              <w:t>Figure 4</w:t>
            </w:r>
            <w:r>
              <w:rPr>
                <w:rFonts w:ascii="Aptos" w:hAnsi="Aptos" w:cs="Arial"/>
                <w:sz w:val="20"/>
                <w:szCs w:val="20"/>
              </w:rPr>
              <w:t>) and the phylogeny reconstructed based on these five domains (</w:t>
            </w:r>
            <w:r>
              <w:rPr>
                <w:rFonts w:ascii="Aptos" w:hAnsi="Aptos" w:cs="Arial"/>
                <w:b/>
                <w:bCs/>
                <w:sz w:val="20"/>
                <w:szCs w:val="20"/>
              </w:rPr>
              <w:t>Figures 1-2</w:t>
            </w:r>
            <w:r>
              <w:rPr>
                <w:rFonts w:ascii="Aptos" w:hAnsi="Aptos" w:cs="Arial"/>
                <w:sz w:val="20"/>
                <w:szCs w:val="20"/>
              </w:rPr>
              <w:t>). The synteny of the five conserved protein doma</w:t>
            </w:r>
            <w:r>
              <w:rPr>
                <w:rFonts w:ascii="Aptos" w:hAnsi="Aptos" w:cs="Arial"/>
                <w:sz w:val="20"/>
                <w:szCs w:val="20"/>
              </w:rPr>
              <w:t>ins is a hallmark feature of nidoviruses and has not been observed in viruses from other orders. The</w:t>
            </w:r>
            <w:r>
              <w:rPr>
                <w:rFonts w:ascii="Aptos" w:eastAsia="Arial" w:hAnsi="Aptos" w:cs="Arial"/>
                <w:sz w:val="20"/>
                <w:szCs w:val="20"/>
              </w:rPr>
              <w:t xml:space="preserve"> five domains include the nidovirus genetic markers NiRAN and ZBD, covalently linked to RdRp and HEL1, respectively [</w:t>
            </w:r>
            <w:r>
              <w:rPr>
                <w:rFonts w:ascii="Aptos" w:eastAsia="Arial" w:hAnsi="Aptos" w:cs="Arial"/>
                <w:b/>
                <w:bCs/>
                <w:sz w:val="20"/>
                <w:szCs w:val="20"/>
              </w:rPr>
              <w:t>2</w:t>
            </w:r>
            <w:r>
              <w:rPr>
                <w:rFonts w:ascii="Aptos" w:eastAsia="Arial" w:hAnsi="Aptos" w:cs="Arial"/>
                <w:sz w:val="20"/>
                <w:szCs w:val="20"/>
              </w:rPr>
              <w:t>]. We included representatives of fami</w:t>
            </w:r>
            <w:r>
              <w:rPr>
                <w:rFonts w:ascii="Aptos" w:eastAsia="Arial" w:hAnsi="Aptos" w:cs="Arial"/>
                <w:sz w:val="20"/>
                <w:szCs w:val="20"/>
              </w:rPr>
              <w:t xml:space="preserve">lies </w:t>
            </w:r>
            <w:r>
              <w:rPr>
                <w:rFonts w:ascii="Aptos" w:eastAsia="Arial" w:hAnsi="Aptos" w:cs="Arial"/>
                <w:i/>
                <w:iCs/>
                <w:sz w:val="20"/>
                <w:szCs w:val="20"/>
              </w:rPr>
              <w:t>Coronaviridae</w:t>
            </w:r>
            <w:r>
              <w:rPr>
                <w:rFonts w:ascii="Aptos" w:eastAsia="Arial" w:hAnsi="Aptos" w:cs="Arial"/>
                <w:sz w:val="20"/>
                <w:szCs w:val="20"/>
              </w:rPr>
              <w:t xml:space="preserve"> and </w:t>
            </w:r>
            <w:r>
              <w:rPr>
                <w:rFonts w:ascii="Aptos" w:eastAsia="Arial" w:hAnsi="Aptos" w:cs="Arial"/>
                <w:i/>
                <w:iCs/>
                <w:sz w:val="20"/>
                <w:szCs w:val="20"/>
              </w:rPr>
              <w:t>Tobaniviridae</w:t>
            </w:r>
            <w:r>
              <w:rPr>
                <w:rFonts w:ascii="Aptos" w:eastAsia="Arial" w:hAnsi="Aptos" w:cs="Arial"/>
                <w:sz w:val="20"/>
                <w:szCs w:val="20"/>
              </w:rPr>
              <w:t xml:space="preserve"> in the phylogenetyic analysis and used members of the families </w:t>
            </w:r>
            <w:r>
              <w:rPr>
                <w:rFonts w:ascii="Aptos" w:eastAsia="Arial" w:hAnsi="Aptos" w:cs="Arial"/>
                <w:i/>
                <w:iCs/>
                <w:sz w:val="20"/>
                <w:szCs w:val="20"/>
              </w:rPr>
              <w:t>Nanhypoviridae</w:t>
            </w:r>
            <w:r>
              <w:rPr>
                <w:rFonts w:ascii="Aptos" w:eastAsia="Arial" w:hAnsi="Aptos" w:cs="Arial"/>
                <w:sz w:val="20"/>
                <w:szCs w:val="20"/>
              </w:rPr>
              <w:t xml:space="preserve"> and </w:t>
            </w:r>
            <w:r>
              <w:rPr>
                <w:rFonts w:ascii="Aptos" w:eastAsia="Arial" w:hAnsi="Aptos" w:cs="Arial"/>
                <w:i/>
                <w:iCs/>
                <w:sz w:val="20"/>
                <w:szCs w:val="20"/>
              </w:rPr>
              <w:t>Nanghoshaviridae</w:t>
            </w:r>
            <w:r>
              <w:rPr>
                <w:rFonts w:ascii="Aptos" w:eastAsia="Arial" w:hAnsi="Aptos" w:cs="Arial"/>
                <w:sz w:val="20"/>
                <w:szCs w:val="20"/>
              </w:rPr>
              <w:t xml:space="preserve"> as an outgroup. The inferred phylogenetic position of GTDV-1 as a sister lineage of the family </w:t>
            </w:r>
            <w:r>
              <w:rPr>
                <w:rFonts w:ascii="Aptos" w:eastAsia="Arial" w:hAnsi="Aptos" w:cs="Arial"/>
                <w:i/>
                <w:iCs/>
                <w:sz w:val="20"/>
                <w:szCs w:val="20"/>
              </w:rPr>
              <w:t>Tobaniviridae</w:t>
            </w:r>
            <w:r>
              <w:rPr>
                <w:rFonts w:ascii="Aptos" w:eastAsia="Arial" w:hAnsi="Aptos" w:cs="Arial"/>
                <w:sz w:val="20"/>
                <w:szCs w:val="20"/>
              </w:rPr>
              <w:t xml:space="preserve"> is consistent with that of an RdRp-based nidovirus-wide analysis in the original virus discovery study that provisionally assigned GTDV-1 to this </w:t>
            </w:r>
            <w:r>
              <w:rPr>
                <w:rFonts w:ascii="Aptos" w:eastAsia="Arial" w:hAnsi="Aptos" w:cs="Arial"/>
                <w:sz w:val="20"/>
                <w:szCs w:val="20"/>
              </w:rPr>
              <w:t>family (hence tobanivirus in the name) [</w:t>
            </w:r>
            <w:r>
              <w:rPr>
                <w:rFonts w:ascii="Aptos" w:eastAsia="Arial" w:hAnsi="Aptos" w:cs="Arial"/>
                <w:b/>
                <w:bCs/>
                <w:sz w:val="20"/>
                <w:szCs w:val="20"/>
              </w:rPr>
              <w:t>1</w:t>
            </w:r>
            <w:r>
              <w:rPr>
                <w:rFonts w:ascii="Aptos" w:eastAsia="Arial" w:hAnsi="Aptos" w:cs="Arial"/>
                <w:sz w:val="20"/>
                <w:szCs w:val="20"/>
              </w:rPr>
              <w:t>]. GTDV-1 has a</w:t>
            </w:r>
            <w:r>
              <w:rPr>
                <w:rFonts w:ascii="Aptos" w:hAnsi="Aptos" w:cs="Arial"/>
                <w:sz w:val="20"/>
                <w:szCs w:val="20"/>
              </w:rPr>
              <w:t xml:space="preserve"> coding-complete genome of 35 kb (GenBank accession BK070347) and thus qualifies for inclusion in the </w:t>
            </w:r>
            <w:r>
              <w:rPr>
                <w:rFonts w:ascii="Aptos" w:hAnsi="Aptos" w:cs="Arial"/>
                <w:i/>
                <w:iCs/>
                <w:sz w:val="20"/>
                <w:szCs w:val="20"/>
              </w:rPr>
              <w:t>Nidovirales</w:t>
            </w:r>
            <w:r>
              <w:rPr>
                <w:rFonts w:ascii="Aptos" w:hAnsi="Aptos" w:cs="Arial"/>
                <w:sz w:val="20"/>
                <w:szCs w:val="20"/>
              </w:rPr>
              <w:t xml:space="preserve"> taxonomy.</w:t>
            </w:r>
          </w:p>
          <w:p w14:paraId="186F4EE1" w14:textId="77777777" w:rsidR="002F7B43" w:rsidRDefault="002F7B43">
            <w:pPr>
              <w:rPr>
                <w:rFonts w:ascii="Aptos" w:hAnsi="Aptos" w:cs="Arial"/>
                <w:sz w:val="20"/>
                <w:szCs w:val="20"/>
              </w:rPr>
            </w:pPr>
          </w:p>
          <w:p w14:paraId="0131C723" w14:textId="77777777" w:rsidR="002F7B43" w:rsidRDefault="00C76170">
            <w:pPr>
              <w:rPr>
                <w:rFonts w:ascii="Aptos" w:hAnsi="Aptos" w:cs="Arial"/>
                <w:sz w:val="20"/>
                <w:szCs w:val="20"/>
              </w:rPr>
            </w:pPr>
            <w:r>
              <w:rPr>
                <w:rFonts w:ascii="Aptos" w:hAnsi="Aptos" w:cs="Arial"/>
                <w:sz w:val="20"/>
                <w:szCs w:val="20"/>
              </w:rPr>
              <w:t>Previous and already approved nidovirus taxonomy proposals as well as the c</w:t>
            </w:r>
            <w:r>
              <w:rPr>
                <w:rFonts w:ascii="Aptos" w:hAnsi="Aptos" w:cs="Arial"/>
                <w:sz w:val="20"/>
                <w:szCs w:val="20"/>
              </w:rPr>
              <w:t>urrently proposed hierarchical classification of nidoviruses have been developed within the computational DivErsity pArtitioning by hieRarchical Clustering (DEmARC) framework [</w:t>
            </w:r>
            <w:r>
              <w:rPr>
                <w:rFonts w:ascii="Aptos" w:hAnsi="Aptos" w:cs="Arial"/>
                <w:b/>
                <w:bCs/>
                <w:sz w:val="20"/>
                <w:szCs w:val="20"/>
              </w:rPr>
              <w:t>3-9</w:t>
            </w:r>
            <w:r>
              <w:rPr>
                <w:rFonts w:ascii="Aptos" w:hAnsi="Aptos" w:cs="Arial"/>
                <w:sz w:val="20"/>
                <w:szCs w:val="20"/>
              </w:rPr>
              <w:t>]. For nidoviruses, the DEmARC analysis is applied to a multiple sequence ali</w:t>
            </w:r>
            <w:r>
              <w:rPr>
                <w:rFonts w:ascii="Aptos" w:hAnsi="Aptos" w:cs="Arial"/>
                <w:sz w:val="20"/>
                <w:szCs w:val="20"/>
              </w:rPr>
              <w:t>gnment (MSA) of five concatenated protein domains (3CLpro, NiRAN, RdRp, ZBD and HEL1). From the 5-domain MSA, a maximum likelihood (ML) phylogeny was reconstructed using FastTree 2.1.4 SSE3, and PPDs were obtained from this tree. PPD thresholds for demarca</w:t>
            </w:r>
            <w:r>
              <w:rPr>
                <w:rFonts w:ascii="Aptos" w:hAnsi="Aptos" w:cs="Arial"/>
                <w:sz w:val="20"/>
                <w:szCs w:val="20"/>
              </w:rPr>
              <w:t>ting taxa at the two proposed classification ranks were selected as follows. All local minima in the CC distribution were considered as candidate thresholds. From these, optimal PPD thresholds satisfied the following requirements. First, the clusters forme</w:t>
            </w:r>
            <w:r>
              <w:rPr>
                <w:rFonts w:ascii="Aptos" w:hAnsi="Aptos" w:cs="Arial"/>
                <w:sz w:val="20"/>
                <w:szCs w:val="20"/>
              </w:rPr>
              <w:t xml:space="preserve">d under these thresholds were monophyletic in the ML tree of the respective nidovirus subset. Second, all intra- and inter-cluster PPDs were (predominantly) smaller and (predominantly) larger, respectively, than the respective threshold. If </w:t>
            </w:r>
            <w:r>
              <w:rPr>
                <w:rFonts w:ascii="Aptos" w:hAnsi="Aptos" w:cs="Arial"/>
                <w:i/>
                <w:iCs/>
                <w:sz w:val="20"/>
                <w:szCs w:val="20"/>
              </w:rPr>
              <w:t>all</w:t>
            </w:r>
            <w:r>
              <w:rPr>
                <w:rFonts w:ascii="Aptos" w:hAnsi="Aptos" w:cs="Arial"/>
                <w:sz w:val="20"/>
                <w:szCs w:val="20"/>
              </w:rPr>
              <w:t xml:space="preserve"> intra- and </w:t>
            </w:r>
            <w:r>
              <w:rPr>
                <w:rFonts w:ascii="Aptos" w:hAnsi="Aptos" w:cs="Arial"/>
                <w:sz w:val="20"/>
                <w:szCs w:val="20"/>
              </w:rPr>
              <w:t xml:space="preserve">inter-cluster PPDs, respectively, were smaller and larger than the respective threshold, such clustering has the optimal cost of zero (CC=0). Third, we ensured that there were no conflicts between the current </w:t>
            </w:r>
            <w:r>
              <w:rPr>
                <w:rFonts w:ascii="Aptos" w:hAnsi="Aptos" w:cs="Arial"/>
                <w:i/>
                <w:iCs/>
                <w:sz w:val="20"/>
                <w:szCs w:val="20"/>
              </w:rPr>
              <w:t>Nidovirales</w:t>
            </w:r>
            <w:r>
              <w:rPr>
                <w:rFonts w:ascii="Aptos" w:hAnsi="Aptos" w:cs="Arial"/>
                <w:sz w:val="20"/>
                <w:szCs w:val="20"/>
              </w:rPr>
              <w:t xml:space="preserve"> taxonomy and the newly proposed cla</w:t>
            </w:r>
            <w:r>
              <w:rPr>
                <w:rFonts w:ascii="Aptos" w:hAnsi="Aptos" w:cs="Arial"/>
                <w:sz w:val="20"/>
                <w:szCs w:val="20"/>
              </w:rPr>
              <w:t>ssification for existing taxa, e.g. no split or merge of existing clusters at these two ranks.</w:t>
            </w:r>
          </w:p>
          <w:p w14:paraId="6DB1426F" w14:textId="77777777" w:rsidR="002F7B43" w:rsidRDefault="002F7B43">
            <w:pPr>
              <w:rPr>
                <w:rFonts w:ascii="Aptos" w:hAnsi="Aptos" w:cs="Arial"/>
                <w:sz w:val="20"/>
                <w:szCs w:val="20"/>
              </w:rPr>
            </w:pPr>
          </w:p>
          <w:p w14:paraId="444E896C" w14:textId="77777777" w:rsidR="002F7B43" w:rsidRDefault="00C76170">
            <w:pPr>
              <w:rPr>
                <w:rFonts w:ascii="Aptos" w:hAnsi="Aptos" w:cs="Arial"/>
                <w:sz w:val="20"/>
                <w:szCs w:val="20"/>
              </w:rPr>
            </w:pPr>
            <w:r>
              <w:rPr>
                <w:rFonts w:ascii="Aptos" w:hAnsi="Aptos" w:cs="Arial"/>
                <w:sz w:val="20"/>
                <w:szCs w:val="20"/>
              </w:rPr>
              <w:t xml:space="preserve">One PPD threshold (value of 4.870) with a CC=0 resulted in 3 clusters corresponding to the established suborders </w:t>
            </w:r>
            <w:r>
              <w:rPr>
                <w:rFonts w:ascii="Aptos" w:hAnsi="Aptos" w:cs="Arial"/>
                <w:i/>
                <w:iCs/>
                <w:sz w:val="20"/>
                <w:szCs w:val="20"/>
              </w:rPr>
              <w:t>Cornidovirineae</w:t>
            </w:r>
            <w:r>
              <w:rPr>
                <w:rFonts w:ascii="Aptos" w:hAnsi="Aptos" w:cs="Arial"/>
                <w:sz w:val="20"/>
                <w:szCs w:val="20"/>
              </w:rPr>
              <w:t xml:space="preserve"> (covering the established famil</w:t>
            </w:r>
            <w:r>
              <w:rPr>
                <w:rFonts w:ascii="Aptos" w:hAnsi="Aptos" w:cs="Arial"/>
                <w:sz w:val="20"/>
                <w:szCs w:val="20"/>
              </w:rPr>
              <w:t xml:space="preserve">y </w:t>
            </w:r>
            <w:r>
              <w:rPr>
                <w:rFonts w:ascii="Aptos" w:hAnsi="Aptos" w:cs="Arial"/>
                <w:i/>
                <w:iCs/>
                <w:sz w:val="20"/>
                <w:szCs w:val="20"/>
              </w:rPr>
              <w:t>Coronaviridae</w:t>
            </w:r>
            <w:r>
              <w:rPr>
                <w:rFonts w:ascii="Aptos" w:hAnsi="Aptos" w:cs="Arial"/>
                <w:sz w:val="20"/>
                <w:szCs w:val="20"/>
              </w:rPr>
              <w:t xml:space="preserve">) and </w:t>
            </w:r>
            <w:r>
              <w:rPr>
                <w:rFonts w:ascii="Aptos" w:hAnsi="Aptos" w:cs="Arial"/>
                <w:i/>
                <w:iCs/>
                <w:sz w:val="20"/>
                <w:szCs w:val="20"/>
              </w:rPr>
              <w:t>Tornidovirineae</w:t>
            </w:r>
            <w:r>
              <w:rPr>
                <w:rFonts w:ascii="Aptos" w:hAnsi="Aptos" w:cs="Arial"/>
                <w:sz w:val="20"/>
                <w:szCs w:val="20"/>
              </w:rPr>
              <w:t xml:space="preserve"> (</w:t>
            </w:r>
            <w:r>
              <w:rPr>
                <w:rFonts w:ascii="Aptos" w:hAnsi="Aptos" w:cs="Arial"/>
                <w:i/>
                <w:iCs/>
                <w:sz w:val="20"/>
                <w:szCs w:val="20"/>
              </w:rPr>
              <w:t>Tobaniviridae</w:t>
            </w:r>
            <w:r>
              <w:rPr>
                <w:rFonts w:ascii="Aptos" w:hAnsi="Aptos" w:cs="Arial"/>
                <w:sz w:val="20"/>
                <w:szCs w:val="20"/>
              </w:rPr>
              <w:t xml:space="preserve"> and GTDV-1), including nidoviruses with long genomes, and </w:t>
            </w:r>
            <w:r>
              <w:rPr>
                <w:rFonts w:ascii="Aptos" w:hAnsi="Aptos" w:cs="Arial"/>
                <w:i/>
                <w:iCs/>
                <w:sz w:val="20"/>
                <w:szCs w:val="20"/>
              </w:rPr>
              <w:t>Nanidovirineae</w:t>
            </w:r>
            <w:r>
              <w:rPr>
                <w:rFonts w:ascii="Aptos" w:hAnsi="Aptos" w:cs="Arial"/>
                <w:sz w:val="20"/>
                <w:szCs w:val="20"/>
              </w:rPr>
              <w:t xml:space="preserve"> (</w:t>
            </w:r>
            <w:r>
              <w:rPr>
                <w:rFonts w:ascii="Aptos" w:hAnsi="Aptos" w:cs="Arial"/>
                <w:i/>
                <w:iCs/>
                <w:sz w:val="20"/>
                <w:szCs w:val="20"/>
              </w:rPr>
              <w:t>Nanhypoviridae</w:t>
            </w:r>
            <w:r>
              <w:rPr>
                <w:rFonts w:ascii="Aptos" w:hAnsi="Aptos" w:cs="Arial"/>
                <w:sz w:val="20"/>
                <w:szCs w:val="20"/>
              </w:rPr>
              <w:t xml:space="preserve"> and </w:t>
            </w:r>
            <w:r>
              <w:rPr>
                <w:rFonts w:ascii="Aptos" w:hAnsi="Aptos" w:cs="Arial"/>
                <w:i/>
                <w:iCs/>
                <w:sz w:val="20"/>
                <w:szCs w:val="20"/>
              </w:rPr>
              <w:t>Nanghoshaviridae</w:t>
            </w:r>
            <w:r>
              <w:rPr>
                <w:rFonts w:ascii="Aptos" w:hAnsi="Aptos" w:cs="Arial"/>
                <w:sz w:val="20"/>
                <w:szCs w:val="20"/>
              </w:rPr>
              <w:t>), including a subset of nidoviruses with short genomes (</w:t>
            </w:r>
            <w:r>
              <w:rPr>
                <w:rFonts w:ascii="Aptos" w:hAnsi="Aptos" w:cs="Arial"/>
                <w:b/>
                <w:bCs/>
                <w:sz w:val="20"/>
                <w:szCs w:val="20"/>
              </w:rPr>
              <w:t>Figure 3</w:t>
            </w:r>
            <w:r>
              <w:rPr>
                <w:rFonts w:ascii="Aptos" w:hAnsi="Aptos" w:cs="Arial"/>
                <w:sz w:val="20"/>
                <w:szCs w:val="20"/>
              </w:rPr>
              <w:t>). GTDV-1 was therefore assign</w:t>
            </w:r>
            <w:r>
              <w:rPr>
                <w:rFonts w:ascii="Aptos" w:hAnsi="Aptos" w:cs="Arial"/>
                <w:sz w:val="20"/>
                <w:szCs w:val="20"/>
              </w:rPr>
              <w:t xml:space="preserve">ed to the established suborder </w:t>
            </w:r>
            <w:r>
              <w:rPr>
                <w:rFonts w:ascii="Aptos" w:hAnsi="Aptos" w:cs="Arial"/>
                <w:i/>
                <w:iCs/>
                <w:sz w:val="20"/>
                <w:szCs w:val="20"/>
              </w:rPr>
              <w:t>Tornidovirineae</w:t>
            </w:r>
            <w:r>
              <w:rPr>
                <w:rFonts w:ascii="Aptos" w:hAnsi="Aptos" w:cs="Arial"/>
                <w:sz w:val="20"/>
                <w:szCs w:val="20"/>
              </w:rPr>
              <w:t xml:space="preserve">. Another PPD threshold (3.270) with a CC=0.00001 resulted in 5 clusters corresponding to the established families </w:t>
            </w:r>
            <w:r>
              <w:rPr>
                <w:rFonts w:ascii="Aptos" w:hAnsi="Aptos" w:cs="Arial"/>
                <w:i/>
                <w:iCs/>
                <w:sz w:val="20"/>
                <w:szCs w:val="20"/>
              </w:rPr>
              <w:t>Coronaviridae</w:t>
            </w:r>
            <w:r>
              <w:rPr>
                <w:rFonts w:ascii="Aptos" w:hAnsi="Aptos" w:cs="Arial"/>
                <w:sz w:val="20"/>
                <w:szCs w:val="20"/>
              </w:rPr>
              <w:t xml:space="preserve">, </w:t>
            </w:r>
            <w:r>
              <w:rPr>
                <w:rFonts w:ascii="Aptos" w:hAnsi="Aptos" w:cs="Arial"/>
                <w:i/>
                <w:iCs/>
                <w:sz w:val="20"/>
                <w:szCs w:val="20"/>
              </w:rPr>
              <w:t>Tobaniviridae</w:t>
            </w:r>
            <w:r>
              <w:rPr>
                <w:rFonts w:ascii="Aptos" w:hAnsi="Aptos" w:cs="Arial"/>
                <w:sz w:val="20"/>
                <w:szCs w:val="20"/>
              </w:rPr>
              <w:t xml:space="preserve">, </w:t>
            </w:r>
            <w:r>
              <w:rPr>
                <w:rFonts w:ascii="Aptos" w:hAnsi="Aptos" w:cs="Arial"/>
                <w:i/>
                <w:iCs/>
                <w:sz w:val="20"/>
                <w:szCs w:val="20"/>
              </w:rPr>
              <w:t>Nanhypoviridae</w:t>
            </w:r>
            <w:r>
              <w:rPr>
                <w:rFonts w:ascii="Aptos" w:hAnsi="Aptos" w:cs="Arial"/>
                <w:sz w:val="20"/>
                <w:szCs w:val="20"/>
              </w:rPr>
              <w:t xml:space="preserve">, and </w:t>
            </w:r>
            <w:r>
              <w:rPr>
                <w:rFonts w:ascii="Aptos" w:hAnsi="Aptos" w:cs="Arial"/>
                <w:i/>
                <w:iCs/>
                <w:sz w:val="20"/>
                <w:szCs w:val="20"/>
              </w:rPr>
              <w:t>Nanghoshaviridae</w:t>
            </w:r>
            <w:r>
              <w:rPr>
                <w:rFonts w:ascii="Aptos" w:hAnsi="Aptos" w:cs="Arial"/>
                <w:sz w:val="20"/>
                <w:szCs w:val="20"/>
              </w:rPr>
              <w:t>, as well as GTDV-1 being ass</w:t>
            </w:r>
            <w:r>
              <w:rPr>
                <w:rFonts w:ascii="Aptos" w:hAnsi="Aptos" w:cs="Arial"/>
                <w:sz w:val="20"/>
                <w:szCs w:val="20"/>
              </w:rPr>
              <w:t>igned to a separate cluster (</w:t>
            </w:r>
            <w:r>
              <w:rPr>
                <w:rFonts w:ascii="Aptos" w:hAnsi="Aptos" w:cs="Arial"/>
                <w:b/>
                <w:bCs/>
                <w:sz w:val="20"/>
                <w:szCs w:val="20"/>
              </w:rPr>
              <w:t>Figure 3</w:t>
            </w:r>
            <w:r>
              <w:rPr>
                <w:rFonts w:ascii="Aptos" w:hAnsi="Aptos" w:cs="Arial"/>
                <w:sz w:val="20"/>
                <w:szCs w:val="20"/>
              </w:rPr>
              <w:t>). GTDV-1 was therefore classified as a member of a new virus family. As this new family is currently only represented by GTDV-1, this virus also represents a new genus and a new species.</w:t>
            </w:r>
          </w:p>
          <w:p w14:paraId="13FAC53C" w14:textId="77777777" w:rsidR="002F7B43" w:rsidRDefault="002F7B43">
            <w:pPr>
              <w:rPr>
                <w:rFonts w:ascii="Aptos" w:hAnsi="Aptos" w:cs="Arial"/>
                <w:sz w:val="20"/>
                <w:szCs w:val="20"/>
              </w:rPr>
            </w:pPr>
          </w:p>
          <w:p w14:paraId="166D4FD6" w14:textId="77777777" w:rsidR="002F7B43" w:rsidRDefault="00C76170">
            <w:pPr>
              <w:rPr>
                <w:rFonts w:ascii="Aptos" w:hAnsi="Aptos" w:cs="Arial"/>
                <w:sz w:val="20"/>
                <w:szCs w:val="20"/>
              </w:rPr>
            </w:pPr>
            <w:r>
              <w:rPr>
                <w:rFonts w:ascii="Aptos" w:hAnsi="Aptos" w:cs="Arial"/>
                <w:sz w:val="20"/>
                <w:szCs w:val="20"/>
              </w:rPr>
              <w:t>We note that another PPD thres</w:t>
            </w:r>
            <w:r>
              <w:rPr>
                <w:rFonts w:ascii="Aptos" w:hAnsi="Aptos" w:cs="Arial"/>
                <w:sz w:val="20"/>
                <w:szCs w:val="20"/>
              </w:rPr>
              <w:t xml:space="preserve">hold with a support value comparable to that of the chosen family threshold would result in 4 clusters that would classify GTDV-1 as a new most distantly related subfamily in the family </w:t>
            </w:r>
            <w:r>
              <w:rPr>
                <w:rFonts w:ascii="Aptos" w:hAnsi="Aptos" w:cs="Arial"/>
                <w:i/>
                <w:iCs/>
                <w:sz w:val="20"/>
                <w:szCs w:val="20"/>
              </w:rPr>
              <w:t>Tobaniviridae</w:t>
            </w:r>
            <w:r>
              <w:rPr>
                <w:rFonts w:ascii="Aptos" w:hAnsi="Aptos" w:cs="Arial"/>
                <w:sz w:val="20"/>
                <w:szCs w:val="20"/>
              </w:rPr>
              <w:t xml:space="preserve"> and not as a separate family. We did not choose this thr</w:t>
            </w:r>
            <w:r>
              <w:rPr>
                <w:rFonts w:ascii="Aptos" w:hAnsi="Aptos" w:cs="Arial"/>
                <w:sz w:val="20"/>
                <w:szCs w:val="20"/>
              </w:rPr>
              <w:t xml:space="preserve">eshold for classification as it would result in an increase of the maximum intra-family distance range of the </w:t>
            </w:r>
            <w:r>
              <w:rPr>
                <w:rFonts w:ascii="Aptos" w:hAnsi="Aptos" w:cs="Arial"/>
                <w:i/>
                <w:iCs/>
                <w:sz w:val="20"/>
                <w:szCs w:val="20"/>
              </w:rPr>
              <w:t>Tobaniviridae</w:t>
            </w:r>
            <w:r>
              <w:rPr>
                <w:rFonts w:ascii="Aptos" w:hAnsi="Aptos" w:cs="Arial"/>
                <w:sz w:val="20"/>
                <w:szCs w:val="20"/>
              </w:rPr>
              <w:t xml:space="preserve"> which already is much larger than in the </w:t>
            </w:r>
            <w:r>
              <w:rPr>
                <w:rFonts w:ascii="Aptos" w:hAnsi="Aptos" w:cs="Arial"/>
                <w:i/>
                <w:iCs/>
                <w:sz w:val="20"/>
                <w:szCs w:val="20"/>
              </w:rPr>
              <w:t>Coronaviridae.</w:t>
            </w:r>
            <w:r>
              <w:rPr>
                <w:rFonts w:ascii="Aptos" w:hAnsi="Aptos" w:cs="Arial"/>
                <w:sz w:val="20"/>
                <w:szCs w:val="20"/>
              </w:rPr>
              <w:t xml:space="preserve"> Nevertheless, an expanded sampling of viruses clustering with GTDV-1 or </w:t>
            </w:r>
            <w:r>
              <w:rPr>
                <w:rFonts w:ascii="Aptos" w:hAnsi="Aptos" w:cs="Arial"/>
                <w:i/>
                <w:iCs/>
                <w:sz w:val="20"/>
                <w:szCs w:val="20"/>
              </w:rPr>
              <w:t>Toba</w:t>
            </w:r>
            <w:r>
              <w:rPr>
                <w:rFonts w:ascii="Aptos" w:hAnsi="Aptos" w:cs="Arial"/>
                <w:i/>
                <w:iCs/>
                <w:sz w:val="20"/>
                <w:szCs w:val="20"/>
              </w:rPr>
              <w:t>niviridae</w:t>
            </w:r>
            <w:r>
              <w:rPr>
                <w:rFonts w:ascii="Aptos" w:hAnsi="Aptos" w:cs="Arial"/>
                <w:sz w:val="20"/>
                <w:szCs w:val="20"/>
              </w:rPr>
              <w:t xml:space="preserve"> and </w:t>
            </w:r>
            <w:r>
              <w:rPr>
                <w:rFonts w:ascii="Aptos" w:hAnsi="Aptos" w:cs="Arial"/>
                <w:i/>
                <w:iCs/>
                <w:sz w:val="20"/>
                <w:szCs w:val="20"/>
              </w:rPr>
              <w:t>Coronaviridae</w:t>
            </w:r>
            <w:r>
              <w:rPr>
                <w:rFonts w:ascii="Aptos" w:hAnsi="Aptos" w:cs="Arial"/>
                <w:sz w:val="20"/>
                <w:szCs w:val="20"/>
              </w:rPr>
              <w:t xml:space="preserve"> may result in a revision of the proposed assignment in the future.</w:t>
            </w:r>
          </w:p>
          <w:p w14:paraId="7A9C91B1" w14:textId="77777777" w:rsidR="002F7B43" w:rsidRDefault="002F7B43">
            <w:pPr>
              <w:rPr>
                <w:rFonts w:ascii="Aptos" w:hAnsi="Aptos" w:cs="Arial"/>
                <w:sz w:val="20"/>
                <w:szCs w:val="20"/>
              </w:rPr>
            </w:pPr>
          </w:p>
        </w:tc>
      </w:tr>
    </w:tbl>
    <w:p w14:paraId="5EBCEBD1" w14:textId="6955FEAA" w:rsidR="002F7B43" w:rsidRDefault="00C76170">
      <w:pPr>
        <w:rPr>
          <w:rFonts w:ascii="Aptos" w:hAnsi="Aptos" w:cs="Arial"/>
          <w:color w:val="808080" w:themeColor="background1" w:themeShade="80"/>
          <w:sz w:val="20"/>
        </w:rPr>
      </w:pPr>
      <w:r>
        <w:rPr>
          <w:noProof/>
        </w:rPr>
        <w:lastRenderedPageBreak/>
        <w:pict w14:anchorId="77D1C78B">
          <v:rect id="Rechteck 1" o:spid="_x0000_s1026" style="position:absolute;margin-left:-5.65pt;margin-top:6.2pt;width:446.3pt;height:13.7pt;z-index:1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" o:allowincell="f" filled="f" stroked="f" strokeweight="0">
            <v:textbox style="mso-fit-shape-to-text:t" inset="0,0,0,0">
              <w:txbxContent>
                <w:p w14:paraId="5F9DBE5D" w14:textId="77777777" w:rsidR="002F7B43" w:rsidRDefault="002F7B43">
                  <w:pPr>
                    <w:pStyle w:val="BodyText"/>
                    <w:rPr>
                      <w:color w:val="000000"/>
                    </w:rPr>
                  </w:pPr>
                </w:p>
              </w:txbxContent>
            </v:textbox>
            <w10:wrap type="square" anchorx="margin"/>
          </v:rect>
        </w:pict>
      </w:r>
    </w:p>
    <w:p w14:paraId="10AF9961" w14:textId="77777777" w:rsidR="002F7B43" w:rsidRDefault="002F7B43">
      <w:pPr>
        <w:rPr>
          <w:rFonts w:ascii="Aptos" w:hAnsi="Aptos" w:cs="Arial"/>
          <w:color w:val="808080" w:themeColor="background1" w:themeShade="80"/>
          <w:sz w:val="20"/>
        </w:rPr>
      </w:pPr>
    </w:p>
    <w:p w14:paraId="3B9BD9A8" w14:textId="77777777" w:rsidR="002F7B43" w:rsidRDefault="00C76170">
      <w:pPr>
        <w:rPr>
          <w:rFonts w:ascii="Aptos" w:hAnsi="Aptos" w:cs="Arial"/>
          <w:sz w:val="20"/>
          <w:szCs w:val="20"/>
        </w:rPr>
      </w:pPr>
      <w:r>
        <w:br w:type="page"/>
      </w:r>
    </w:p>
    <w:p w14:paraId="64F9DD71" w14:textId="77777777" w:rsidR="002F7B43" w:rsidRDefault="00C76170">
      <w:pPr>
        <w:rPr>
          <w:rFonts w:ascii="Aptos" w:hAnsi="Aptos" w:cs="Arial"/>
          <w:b/>
          <w:bCs/>
          <w:sz w:val="20"/>
          <w:szCs w:val="20"/>
        </w:rPr>
      </w:pPr>
      <w:r>
        <w:rPr>
          <w:rFonts w:ascii="Aptos" w:hAnsi="Aptos" w:cs="Arial"/>
          <w:b/>
          <w:bCs/>
          <w:sz w:val="20"/>
          <w:szCs w:val="20"/>
        </w:rPr>
        <w:lastRenderedPageBreak/>
        <w:t>References</w:t>
      </w:r>
    </w:p>
    <w:p w14:paraId="60B128F7" w14:textId="77777777" w:rsidR="002F7B43" w:rsidRDefault="00C76170">
      <w:pPr>
        <w:numPr>
          <w:ilvl w:val="0"/>
          <w:numId w:val="4"/>
        </w:numPr>
        <w:rPr>
          <w:sz w:val="18"/>
          <w:szCs w:val="18"/>
        </w:rPr>
      </w:pPr>
      <w:r>
        <w:rPr>
          <w:rFonts w:ascii="Aptos" w:hAnsi="Aptos" w:cs="Arial"/>
          <w:sz w:val="18"/>
          <w:szCs w:val="18"/>
        </w:rPr>
        <w:t>Neuman BW, Smart A, Gilmer O, Smyth RP, Vaas J, Böker N, Samborskiy DV, Bartenschlager</w:t>
      </w:r>
      <w:r>
        <w:rPr>
          <w:rFonts w:ascii="Aptos" w:hAnsi="Aptos" w:cs="Arial"/>
          <w:sz w:val="18"/>
          <w:szCs w:val="18"/>
        </w:rPr>
        <w:t xml:space="preserve"> R, Seitz S, Gorbalenya AE, Caliskan N, Lauber C. Giant RNA genomes: Roles of host, translation elongation, genome architecture, and proteome in nidoviruses. Proc Natl Acad Sci U S A. 2025 Feb 18;122(7):e2413675122. doi: 10.1073/pnas.2413675122. Epub 2025 </w:t>
      </w:r>
      <w:r>
        <w:rPr>
          <w:rFonts w:ascii="Aptos" w:hAnsi="Aptos" w:cs="Arial"/>
          <w:sz w:val="18"/>
          <w:szCs w:val="18"/>
        </w:rPr>
        <w:t>Feb 10. PMID: 39928875; PMCID: PMC11848433.</w:t>
      </w:r>
    </w:p>
    <w:p w14:paraId="077D81AC" w14:textId="77777777" w:rsidR="002F7B43" w:rsidRDefault="00C76170">
      <w:pPr>
        <w:numPr>
          <w:ilvl w:val="0"/>
          <w:numId w:val="4"/>
        </w:numPr>
        <w:rPr>
          <w:sz w:val="18"/>
          <w:szCs w:val="18"/>
        </w:rPr>
      </w:pPr>
      <w:r>
        <w:rPr>
          <w:rFonts w:ascii="Aptos" w:hAnsi="Aptos" w:cs="Arial"/>
          <w:sz w:val="18"/>
          <w:szCs w:val="18"/>
        </w:rPr>
        <w:t>Gulyaeva AA, Gorbalenya AE. A nidovirus perspective on SARS-CoV-2. Biochem Biophys Res Commun. 2021 Jan 29;538:24-34. doi: 10.1016/j.bbrc.2020.11.015. Epub 2020 Nov 13. PMID: 33413979; PMCID: PMC7664520.</w:t>
      </w:r>
    </w:p>
    <w:p w14:paraId="74E45336" w14:textId="77777777" w:rsidR="002F7B43" w:rsidRDefault="00C76170">
      <w:pPr>
        <w:numPr>
          <w:ilvl w:val="0"/>
          <w:numId w:val="4"/>
        </w:numPr>
        <w:rPr>
          <w:sz w:val="18"/>
          <w:szCs w:val="18"/>
        </w:rPr>
      </w:pPr>
      <w:r>
        <w:rPr>
          <w:rFonts w:ascii="Aptos" w:hAnsi="Aptos" w:cs="Arial"/>
          <w:sz w:val="18"/>
          <w:szCs w:val="18"/>
        </w:rPr>
        <w:t xml:space="preserve">Siddell </w:t>
      </w:r>
      <w:r>
        <w:rPr>
          <w:rFonts w:ascii="Aptos" w:hAnsi="Aptos" w:cs="Arial"/>
          <w:sz w:val="18"/>
          <w:szCs w:val="18"/>
        </w:rPr>
        <w:t>SG, Walker PJ, Lefkowitz EJ, Mushegian AR, Adams MJ, Dutilh BE, et al. Additional changes to taxonomy ratified in a special vote by the International Committee on Taxonomy of Viruses (October 2018). Arch Virol. 2019;164(3):943-6. DOI: 10.1007/s00705-018-04</w:t>
      </w:r>
      <w:r>
        <w:rPr>
          <w:rFonts w:ascii="Aptos" w:hAnsi="Aptos" w:cs="Arial"/>
          <w:sz w:val="18"/>
          <w:szCs w:val="18"/>
        </w:rPr>
        <w:t>136-2. PMID: 30663020.</w:t>
      </w:r>
    </w:p>
    <w:p w14:paraId="76593381" w14:textId="77777777" w:rsidR="002F7B43" w:rsidRDefault="00C76170">
      <w:pPr>
        <w:numPr>
          <w:ilvl w:val="0"/>
          <w:numId w:val="4"/>
        </w:numPr>
        <w:rPr>
          <w:sz w:val="18"/>
          <w:szCs w:val="18"/>
        </w:rPr>
      </w:pPr>
      <w:r>
        <w:rPr>
          <w:rFonts w:ascii="Aptos" w:hAnsi="Aptos" w:cs="Arial"/>
          <w:sz w:val="18"/>
          <w:szCs w:val="18"/>
        </w:rPr>
        <w:t xml:space="preserve">Walker PJ, Siddell SG, Lefkowitz EJ, Mushegian AR, Adriaenssens EM, Dempsey DM, et al. Changes to virus taxonomy and the Statutes ratified by the International Committee on Taxonomy of Viruses (2020). Arch Virol. 2020;165:2737–2748. </w:t>
      </w:r>
      <w:r>
        <w:rPr>
          <w:rFonts w:ascii="Aptos" w:hAnsi="Aptos" w:cs="Arial"/>
          <w:sz w:val="18"/>
          <w:szCs w:val="18"/>
        </w:rPr>
        <w:t>DOI: 10.1007/s00705-020-04752-x. PMID: 32816125.</w:t>
      </w:r>
    </w:p>
    <w:p w14:paraId="5719C37D" w14:textId="77777777" w:rsidR="002F7B43" w:rsidRDefault="00C76170">
      <w:pPr>
        <w:numPr>
          <w:ilvl w:val="0"/>
          <w:numId w:val="4"/>
        </w:numPr>
        <w:rPr>
          <w:sz w:val="18"/>
          <w:szCs w:val="18"/>
        </w:rPr>
      </w:pPr>
      <w:r>
        <w:rPr>
          <w:rFonts w:ascii="Aptos" w:hAnsi="Aptos" w:cs="Arial"/>
          <w:sz w:val="18"/>
          <w:szCs w:val="18"/>
        </w:rPr>
        <w:t>Walker PJ, Siddell SG, Lefkowitz EJ, Mushegian AR, Adriaenssens EM, Alfenas-Zerbini P, et al. Recent changes to virus taxonomy ratified by the International Committee on Taxonomy of Viruses (2022). Arch Viro</w:t>
      </w:r>
      <w:r>
        <w:rPr>
          <w:rFonts w:ascii="Aptos" w:hAnsi="Aptos" w:cs="Arial"/>
          <w:sz w:val="18"/>
          <w:szCs w:val="18"/>
        </w:rPr>
        <w:t>l. 2022;167(11):2429-40. DOI: 10.1007/s00705-022-05516-5. PMID: 35999326.</w:t>
      </w:r>
    </w:p>
    <w:p w14:paraId="126D7458" w14:textId="77777777" w:rsidR="002F7B43" w:rsidRDefault="00C76170">
      <w:pPr>
        <w:numPr>
          <w:ilvl w:val="0"/>
          <w:numId w:val="4"/>
        </w:numPr>
        <w:rPr>
          <w:sz w:val="18"/>
          <w:szCs w:val="18"/>
        </w:rPr>
      </w:pPr>
      <w:r>
        <w:rPr>
          <w:rFonts w:ascii="Aptos" w:hAnsi="Aptos" w:cs="Arial"/>
          <w:sz w:val="18"/>
          <w:szCs w:val="18"/>
          <w:lang w:val="nl-NL"/>
        </w:rPr>
        <w:t xml:space="preserve">Lauber C, Ziebuhr J, Junglen S, Drosten C, Zirkel F, Nga PT, et al. </w:t>
      </w:r>
      <w:r>
        <w:rPr>
          <w:rFonts w:ascii="Aptos" w:hAnsi="Aptos" w:cs="Arial"/>
          <w:sz w:val="18"/>
          <w:szCs w:val="18"/>
        </w:rPr>
        <w:t>Mesoniviridae: a proposed new family in the order Nidovirales formed by a single species of mosquito-borne viruses</w:t>
      </w:r>
      <w:r>
        <w:rPr>
          <w:rFonts w:ascii="Aptos" w:hAnsi="Aptos" w:cs="Arial"/>
          <w:sz w:val="18"/>
          <w:szCs w:val="18"/>
        </w:rPr>
        <w:t>. Arch Virol. 2012;157(8):1623-8. DOI: 10.1007/s00705-012-1295-x. PMID: 22527862.</w:t>
      </w:r>
    </w:p>
    <w:p w14:paraId="0C1516F5" w14:textId="77777777" w:rsidR="002F7B43" w:rsidRDefault="00C76170">
      <w:pPr>
        <w:numPr>
          <w:ilvl w:val="0"/>
          <w:numId w:val="4"/>
        </w:numPr>
        <w:rPr>
          <w:sz w:val="18"/>
          <w:szCs w:val="18"/>
        </w:rPr>
      </w:pPr>
      <w:r>
        <w:rPr>
          <w:rFonts w:ascii="Aptos" w:hAnsi="Aptos" w:cs="Arial"/>
          <w:sz w:val="18"/>
          <w:szCs w:val="18"/>
        </w:rPr>
        <w:t>Lauber C, Gorbalenya AE. Partitioning the genetic diversity of a virus family: approach and evaluation through a case study of picornaviruses. J Virol. 2012;86(7):3890-904. D</w:t>
      </w:r>
      <w:r>
        <w:rPr>
          <w:rFonts w:ascii="Aptos" w:hAnsi="Aptos" w:cs="Arial"/>
          <w:sz w:val="18"/>
          <w:szCs w:val="18"/>
        </w:rPr>
        <w:t>OI: 10.1128/JVI.07173-11. PMID: 22278230.</w:t>
      </w:r>
    </w:p>
    <w:p w14:paraId="201E7751" w14:textId="77777777" w:rsidR="002F7B43" w:rsidRDefault="00C76170">
      <w:pPr>
        <w:numPr>
          <w:ilvl w:val="0"/>
          <w:numId w:val="4"/>
        </w:numPr>
        <w:rPr>
          <w:sz w:val="18"/>
          <w:szCs w:val="18"/>
        </w:rPr>
      </w:pPr>
      <w:r>
        <w:rPr>
          <w:rFonts w:ascii="Aptos" w:hAnsi="Aptos" w:cs="Arial"/>
          <w:sz w:val="18"/>
          <w:szCs w:val="18"/>
        </w:rPr>
        <w:t xml:space="preserve">Brinton MA, Gulyaeva AA, Balasuriya UBR, Dunowska M, Faaberg KS, Goldberg T, Leung FCC, Nauwynck HJ, Snijder EJ, Stadejek T, Gorbalenya AE. ICTV Virus Taxonomy Profile: </w:t>
      </w:r>
      <w:r>
        <w:rPr>
          <w:rFonts w:ascii="Aptos" w:hAnsi="Aptos" w:cs="Arial"/>
          <w:i/>
          <w:sz w:val="18"/>
          <w:szCs w:val="18"/>
        </w:rPr>
        <w:t>Arteriviridae</w:t>
      </w:r>
      <w:r>
        <w:rPr>
          <w:rFonts w:ascii="Aptos" w:hAnsi="Aptos" w:cs="Arial"/>
          <w:sz w:val="18"/>
          <w:szCs w:val="18"/>
        </w:rPr>
        <w:t xml:space="preserve"> 2021. J Gen Virol</w:t>
      </w:r>
      <w:r>
        <w:rPr>
          <w:rFonts w:ascii="Aptos" w:hAnsi="Aptos" w:cs="Arial"/>
          <w:sz w:val="18"/>
          <w:szCs w:val="18"/>
        </w:rPr>
        <w:t>. 2021 Aug;102(8):001632. doi: 10.1099/jgv.0.001632. PMID: 34356005; PMCID: PMC8513641.</w:t>
      </w:r>
    </w:p>
    <w:p w14:paraId="4BD42EC0" w14:textId="77777777" w:rsidR="002F7B43" w:rsidRDefault="00C76170">
      <w:pPr>
        <w:numPr>
          <w:ilvl w:val="0"/>
          <w:numId w:val="4"/>
        </w:numPr>
        <w:rPr>
          <w:sz w:val="18"/>
          <w:szCs w:val="18"/>
        </w:rPr>
      </w:pPr>
      <w:r>
        <w:rPr>
          <w:rFonts w:ascii="Aptos" w:hAnsi="Aptos" w:cs="Arial"/>
          <w:sz w:val="18"/>
          <w:szCs w:val="18"/>
        </w:rPr>
        <w:t>Gorbalenya AE, Baker SC, Baric RS, de Groot RJ, Drosten C, Gulyaeva AA, Haagmans BL, Lauber C, Leontovich AM, Neuman BW, Penzar D, Perlman S, Poon LLM, Samborskiy DV, S</w:t>
      </w:r>
      <w:r>
        <w:rPr>
          <w:rFonts w:ascii="Aptos" w:hAnsi="Aptos" w:cs="Arial"/>
          <w:sz w:val="18"/>
          <w:szCs w:val="18"/>
        </w:rPr>
        <w:t>idorov IA, Sola I, Ziebuhr J. Coronavirus Study Group of the International Committee on Taxonomy of Viruses. The species Severe acute respiratory syndrome-related coronavirus: classifying 2019-nCoV and naming it SARS-CoV-2. Nat Microbiol. 2020 Apr;5(4):536</w:t>
      </w:r>
      <w:r>
        <w:rPr>
          <w:rFonts w:ascii="Aptos" w:hAnsi="Aptos" w:cs="Arial"/>
          <w:sz w:val="18"/>
          <w:szCs w:val="18"/>
        </w:rPr>
        <w:t>-544. doi: 10.1038/s41564-020-0695-z. Epub 2020 Mar 2. PMID: 32123347; PMCID: PMC7095448.</w:t>
      </w:r>
    </w:p>
    <w:p w14:paraId="26124ACD" w14:textId="77777777" w:rsidR="002F7B43" w:rsidRDefault="00C76170">
      <w:pPr>
        <w:rPr>
          <w:rFonts w:ascii="Aptos" w:hAnsi="Aptos" w:cs="Arial"/>
          <w:sz w:val="20"/>
          <w:szCs w:val="20"/>
        </w:rPr>
      </w:pPr>
      <w:r>
        <w:br w:type="page"/>
      </w:r>
    </w:p>
    <w:p w14:paraId="26CC6627" w14:textId="77777777" w:rsidR="002F7B43" w:rsidRDefault="00C76170">
      <w:pPr>
        <w:rPr>
          <w:rFonts w:ascii="Aptos" w:hAnsi="Aptos" w:cs="Arial"/>
          <w:sz w:val="20"/>
          <w:szCs w:val="20"/>
        </w:rPr>
      </w:pPr>
      <w:r>
        <w:rPr>
          <w:rFonts w:ascii="Aptos" w:hAnsi="Aptos" w:cs="Arial"/>
          <w:b/>
          <w:bCs/>
          <w:sz w:val="20"/>
          <w:szCs w:val="20"/>
        </w:rPr>
        <w:lastRenderedPageBreak/>
        <w:t>Accompanying files</w:t>
      </w:r>
    </w:p>
    <w:p w14:paraId="0A77AB2E" w14:textId="77777777" w:rsidR="002F7B43" w:rsidRDefault="002F7B43">
      <w:pPr>
        <w:rPr>
          <w:rFonts w:ascii="Aptos" w:hAnsi="Aptos" w:cs="Arial"/>
          <w:sz w:val="20"/>
          <w:szCs w:val="20"/>
        </w:rPr>
      </w:pPr>
    </w:p>
    <w:tbl>
      <w:tblPr>
        <w:tblW w:w="8730" w:type="dxa"/>
        <w:tblLayout w:type="fixed"/>
        <w:tblCellMar>
          <w:left w:w="0" w:type="dxa"/>
          <w:right w:w="0" w:type="dxa"/>
        </w:tblCellMar>
        <w:tblLook w:val="04A0" w:firstRow="1" w:lastRow="0" w:firstColumn="1" w:lastColumn="0" w:noHBand="0" w:noVBand="1"/>
      </w:tblPr>
      <w:tblGrid>
        <w:gridCol w:w="3870"/>
        <w:gridCol w:w="4860"/>
      </w:tblGrid>
      <w:tr w:rsidR="002F7B43" w14:paraId="5D4C7345" w14:textId="77777777">
        <w:tc>
          <w:tcPr>
            <w:tcW w:w="3870" w:type="dxa"/>
          </w:tcPr>
          <w:p w14:paraId="2BEEC25A" w14:textId="77777777" w:rsidR="002F7B43" w:rsidRDefault="00C76170">
            <w:pPr>
              <w:pStyle w:val="TableContents"/>
              <w:rPr>
                <w:rFonts w:ascii="Aptos" w:hAnsi="Aptos"/>
                <w:b/>
                <w:bCs/>
                <w:sz w:val="20"/>
                <w:szCs w:val="20"/>
              </w:rPr>
            </w:pPr>
            <w:r>
              <w:rPr>
                <w:rFonts w:ascii="Aptos" w:hAnsi="Aptos"/>
                <w:b/>
                <w:bCs/>
                <w:sz w:val="20"/>
                <w:szCs w:val="20"/>
              </w:rPr>
              <w:t>Filename</w:t>
            </w:r>
          </w:p>
        </w:tc>
        <w:tc>
          <w:tcPr>
            <w:tcW w:w="4859" w:type="dxa"/>
          </w:tcPr>
          <w:p w14:paraId="01A2CAD8" w14:textId="77777777" w:rsidR="002F7B43" w:rsidRDefault="00C76170">
            <w:pPr>
              <w:pStyle w:val="TableContents"/>
              <w:rPr>
                <w:rFonts w:ascii="Aptos" w:hAnsi="Aptos"/>
                <w:b/>
                <w:bCs/>
                <w:sz w:val="20"/>
                <w:szCs w:val="20"/>
              </w:rPr>
            </w:pPr>
            <w:r>
              <w:rPr>
                <w:rFonts w:ascii="Aptos" w:hAnsi="Aptos"/>
                <w:b/>
                <w:bCs/>
                <w:sz w:val="20"/>
                <w:szCs w:val="20"/>
              </w:rPr>
              <w:t>Description of contents</w:t>
            </w:r>
          </w:p>
        </w:tc>
      </w:tr>
      <w:tr w:rsidR="002F7B43" w14:paraId="2FBF89B7" w14:textId="77777777">
        <w:trPr>
          <w:trHeight w:val="177"/>
        </w:trPr>
        <w:tc>
          <w:tcPr>
            <w:tcW w:w="3870" w:type="dxa"/>
          </w:tcPr>
          <w:p w14:paraId="58EEFDC0" w14:textId="77777777" w:rsidR="002F7B43" w:rsidRDefault="00C76170">
            <w:pPr>
              <w:pStyle w:val="TableContents"/>
              <w:rPr>
                <w:rFonts w:ascii="Aptos" w:hAnsi="Aptos"/>
                <w:sz w:val="20"/>
                <w:szCs w:val="20"/>
              </w:rPr>
            </w:pPr>
            <w:r>
              <w:rPr>
                <w:rFonts w:ascii="Aptos" w:hAnsi="Aptos"/>
                <w:sz w:val="20"/>
                <w:szCs w:val="20"/>
              </w:rPr>
              <w:t>2026.000S.Nidovirales_1nf_1ng_1ns.xlsx</w:t>
            </w:r>
          </w:p>
        </w:tc>
        <w:tc>
          <w:tcPr>
            <w:tcW w:w="4859" w:type="dxa"/>
          </w:tcPr>
          <w:p w14:paraId="63899254" w14:textId="77777777" w:rsidR="002F7B43" w:rsidRDefault="00C76170">
            <w:pPr>
              <w:rPr>
                <w:rFonts w:ascii="Aptos" w:hAnsi="Aptos" w:cs="Arial"/>
                <w:b/>
                <w:sz w:val="20"/>
                <w:szCs w:val="20"/>
              </w:rPr>
            </w:pPr>
            <w:r>
              <w:rPr>
                <w:rFonts w:ascii="Aptos" w:hAnsi="Aptos" w:cs="Arial"/>
                <w:sz w:val="20"/>
                <w:szCs w:val="20"/>
              </w:rPr>
              <w:t>Excel module</w:t>
            </w:r>
          </w:p>
        </w:tc>
      </w:tr>
      <w:tr w:rsidR="002F7B43" w14:paraId="1D9EF0F2" w14:textId="77777777">
        <w:tc>
          <w:tcPr>
            <w:tcW w:w="3870" w:type="dxa"/>
          </w:tcPr>
          <w:p w14:paraId="62130C38" w14:textId="77777777" w:rsidR="002F7B43" w:rsidRDefault="002F7B43">
            <w:pPr>
              <w:pStyle w:val="TableContents"/>
              <w:rPr>
                <w:rFonts w:ascii="Aptos" w:hAnsi="Aptos"/>
                <w:sz w:val="20"/>
                <w:szCs w:val="20"/>
              </w:rPr>
            </w:pPr>
          </w:p>
        </w:tc>
        <w:tc>
          <w:tcPr>
            <w:tcW w:w="4859" w:type="dxa"/>
          </w:tcPr>
          <w:p w14:paraId="0FC898EA" w14:textId="77777777" w:rsidR="002F7B43" w:rsidRDefault="002F7B43">
            <w:pPr>
              <w:pStyle w:val="TableContents"/>
              <w:rPr>
                <w:rFonts w:ascii="Aptos" w:hAnsi="Aptos"/>
                <w:sz w:val="20"/>
                <w:szCs w:val="20"/>
              </w:rPr>
            </w:pPr>
          </w:p>
        </w:tc>
      </w:tr>
    </w:tbl>
    <w:p w14:paraId="758E46A2" w14:textId="77777777" w:rsidR="002F7B43" w:rsidRDefault="002F7B43">
      <w:pPr>
        <w:pStyle w:val="BodyText"/>
      </w:pPr>
    </w:p>
    <w:p w14:paraId="6E38A312" w14:textId="77777777" w:rsidR="002F7B43" w:rsidRDefault="002F7B43">
      <w:pPr>
        <w:pStyle w:val="BodyText"/>
      </w:pPr>
    </w:p>
    <w:tbl>
      <w:tblPr>
        <w:tblStyle w:val="TableGrid"/>
        <w:tblW w:w="8926" w:type="dxa"/>
        <w:tblInd w:w="113" w:type="dxa"/>
        <w:tblLayout w:type="fixed"/>
        <w:tblLook w:val="04A0" w:firstRow="1" w:lastRow="0" w:firstColumn="1" w:lastColumn="0" w:noHBand="0" w:noVBand="1"/>
      </w:tblPr>
      <w:tblGrid>
        <w:gridCol w:w="8926"/>
      </w:tblGrid>
      <w:tr w:rsidR="002F7B43" w14:paraId="26510BD2" w14:textId="77777777">
        <w:tc>
          <w:tcPr>
            <w:tcW w:w="8926" w:type="dxa"/>
            <w:shd w:val="clear" w:color="auto" w:fill="F2F2F2" w:themeFill="background1" w:themeFillShade="F2"/>
          </w:tcPr>
          <w:p w14:paraId="546448FE" w14:textId="20B704D7" w:rsidR="002F7B43" w:rsidRDefault="00C76170">
            <w:pPr>
              <w:pStyle w:val="BodyTextIndent"/>
              <w:ind w:left="0" w:firstLine="0"/>
              <w:rPr>
                <w:rFonts w:ascii="Aptos" w:hAnsi="Aptos"/>
                <w:color w:val="0070C0"/>
                <w:sz w:val="20"/>
              </w:rPr>
            </w:pPr>
            <w:r>
              <w:rPr>
                <w:rFonts w:ascii="Aptos" w:hAnsi="Aptos" w:cs="Arial"/>
                <w:b/>
                <w:iCs/>
                <w:sz w:val="20"/>
              </w:rPr>
              <w:t xml:space="preserve">Tables, Figures:  </w:t>
            </w:r>
          </w:p>
        </w:tc>
      </w:tr>
    </w:tbl>
    <w:p w14:paraId="0E3F3F13" w14:textId="77777777" w:rsidR="002F7B43" w:rsidRDefault="002F7B43">
      <w:pPr>
        <w:rPr>
          <w:rFonts w:ascii="Aptos" w:hAnsi="Aptos" w:cs="Arial"/>
          <w:color w:val="808080" w:themeColor="background1" w:themeShade="80"/>
          <w:sz w:val="20"/>
        </w:rPr>
      </w:pPr>
    </w:p>
    <w:p w14:paraId="20C5ED23" w14:textId="28417084" w:rsidR="002F7B43" w:rsidRDefault="00C76170">
      <w:pPr>
        <w:rPr>
          <w:rFonts w:ascii="Aptos" w:hAnsi="Aptos"/>
          <w:b/>
          <w:bCs/>
          <w:color w:val="000000"/>
          <w:sz w:val="18"/>
          <w:szCs w:val="18"/>
        </w:rPr>
      </w:pPr>
      <w:r>
        <w:lastRenderedPageBreak/>
        <w:br w:type="page"/>
      </w:r>
      <w:r>
        <w:rPr>
          <w:noProof/>
        </w:rPr>
        <w:drawing>
          <wp:anchor distT="0" distB="0" distL="0" distR="0" simplePos="0" relativeHeight="25" behindDoc="0" locked="0" layoutInCell="0" allowOverlap="1" wp14:anchorId="14ACAC04" wp14:editId="3F4FD85D">
            <wp:simplePos x="0" y="0"/>
            <wp:positionH relativeFrom="column">
              <wp:align>center</wp:align>
            </wp:positionH>
            <wp:positionV relativeFrom="paragraph">
              <wp:posOffset>635</wp:posOffset>
            </wp:positionV>
            <wp:extent cx="5926455" cy="797814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2"/>
                    <a:stretch>
                      <a:fillRect/>
                    </a:stretch>
                  </pic:blipFill>
                  <pic:spPr bwMode="auto">
                    <a:xfrm>
                      <a:off x="0" y="0"/>
                      <a:ext cx="5926455" cy="7978140"/>
                    </a:xfrm>
                    <a:prstGeom prst="rect">
                      <a:avLst/>
                    </a:prstGeom>
                  </pic:spPr>
                </pic:pic>
              </a:graphicData>
            </a:graphic>
          </wp:anchor>
        </w:drawing>
      </w:r>
    </w:p>
    <w:p w14:paraId="64271860" w14:textId="77777777" w:rsidR="002F7B43" w:rsidRDefault="00C76170">
      <w:r>
        <w:rPr>
          <w:rFonts w:ascii="Aptos" w:hAnsi="Aptos"/>
          <w:b/>
          <w:bCs/>
          <w:color w:val="000000"/>
          <w:sz w:val="18"/>
          <w:szCs w:val="18"/>
        </w:rPr>
        <w:lastRenderedPageBreak/>
        <w:t xml:space="preserve">Figure 1. </w:t>
      </w:r>
      <w:r>
        <w:rPr>
          <w:rFonts w:ascii="Aptos" w:hAnsi="Aptos"/>
          <w:color w:val="000000"/>
          <w:sz w:val="18"/>
          <w:szCs w:val="18"/>
        </w:rPr>
        <w:t>Phylogeny and classification of four established and one newly proposed family of vertebrate nidoviruses. GTDV-1 (GenBank accession BK070347.1) and the newly proposed family are indicated in green. The ML phylogenetic tree is mid-point rooted. Branch suppo</w:t>
      </w:r>
      <w:r>
        <w:rPr>
          <w:rFonts w:ascii="Aptos" w:hAnsi="Aptos"/>
          <w:color w:val="000000"/>
          <w:sz w:val="18"/>
          <w:szCs w:val="18"/>
        </w:rPr>
        <w:t>rt was estimated using the Shimodaira-Hasegawa-like approximate likelihood ratio test (SH-aLRT) with 1,000 replicates, whose results are depicted with white/black shades of dots at the internal nodes, according to three brackets detailed within the key-box</w:t>
      </w:r>
      <w:r>
        <w:rPr>
          <w:rFonts w:ascii="Aptos" w:hAnsi="Aptos"/>
          <w:color w:val="000000"/>
          <w:sz w:val="18"/>
          <w:szCs w:val="18"/>
        </w:rPr>
        <w:t xml:space="preserve"> in the upper-left corner. </w:t>
      </w:r>
      <w:r>
        <w:br w:type="page"/>
      </w:r>
    </w:p>
    <w:p w14:paraId="4ADF11B6" w14:textId="77777777" w:rsidR="002F7B43" w:rsidRDefault="00C76170">
      <w:pPr>
        <w:rPr>
          <w:sz w:val="18"/>
          <w:szCs w:val="18"/>
        </w:rPr>
      </w:pPr>
      <w:r>
        <w:rPr>
          <w:noProof/>
        </w:rPr>
        <w:lastRenderedPageBreak/>
        <w:drawing>
          <wp:anchor distT="0" distB="0" distL="0" distR="0" simplePos="0" relativeHeight="26" behindDoc="0" locked="0" layoutInCell="0" allowOverlap="1" wp14:anchorId="752C497D" wp14:editId="3F0C3B38">
            <wp:simplePos x="0" y="0"/>
            <wp:positionH relativeFrom="column">
              <wp:align>center</wp:align>
            </wp:positionH>
            <wp:positionV relativeFrom="paragraph">
              <wp:posOffset>635</wp:posOffset>
            </wp:positionV>
            <wp:extent cx="5926455" cy="8011160"/>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3"/>
                    <a:stretch>
                      <a:fillRect/>
                    </a:stretch>
                  </pic:blipFill>
                  <pic:spPr bwMode="auto">
                    <a:xfrm>
                      <a:off x="0" y="0"/>
                      <a:ext cx="5926455" cy="8011160"/>
                    </a:xfrm>
                    <a:prstGeom prst="rect">
                      <a:avLst/>
                    </a:prstGeom>
                  </pic:spPr>
                </pic:pic>
              </a:graphicData>
            </a:graphic>
          </wp:anchor>
        </w:drawing>
      </w:r>
    </w:p>
    <w:p w14:paraId="6AB7501A" w14:textId="77777777" w:rsidR="002F7B43" w:rsidRDefault="00C76170">
      <w:pPr>
        <w:rPr>
          <w:sz w:val="18"/>
          <w:szCs w:val="18"/>
        </w:rPr>
      </w:pPr>
      <w:r>
        <w:rPr>
          <w:rFonts w:ascii="Aptos" w:hAnsi="Aptos"/>
          <w:b/>
          <w:bCs/>
          <w:color w:val="000000"/>
          <w:sz w:val="18"/>
          <w:szCs w:val="18"/>
        </w:rPr>
        <w:t xml:space="preserve">Figure 2. </w:t>
      </w:r>
      <w:r>
        <w:rPr>
          <w:rFonts w:ascii="Aptos" w:hAnsi="Aptos"/>
          <w:color w:val="000000"/>
          <w:sz w:val="18"/>
          <w:szCs w:val="18"/>
        </w:rPr>
        <w:t>Phylogeny and classification of three established suborders of vertebrate nidoviruses. GTDV-1 (GenBank accession BK070347.1) is indicated in green. The ML phylogenetic tree is mid-point rooted. Branch support was es</w:t>
      </w:r>
      <w:r>
        <w:rPr>
          <w:rFonts w:ascii="Aptos" w:hAnsi="Aptos"/>
          <w:color w:val="000000"/>
          <w:sz w:val="18"/>
          <w:szCs w:val="18"/>
        </w:rPr>
        <w:t>timated using the Shimodaira-Hasegawa-like approximate likelihood ratio test (SH-aLRT) with 1,000 replicates, whose results are depicted with white/black shades of dots at the internal nodes, according to three brackets detailed within the key-box in the u</w:t>
      </w:r>
      <w:r>
        <w:rPr>
          <w:rFonts w:ascii="Aptos" w:hAnsi="Aptos"/>
          <w:color w:val="000000"/>
          <w:sz w:val="18"/>
          <w:szCs w:val="18"/>
        </w:rPr>
        <w:t>pper-left corner.</w:t>
      </w:r>
      <w:r>
        <w:br w:type="page"/>
      </w:r>
    </w:p>
    <w:p w14:paraId="1588DF3F" w14:textId="77777777" w:rsidR="002F7B43" w:rsidRDefault="00C76170">
      <w:r>
        <w:rPr>
          <w:noProof/>
        </w:rPr>
        <w:lastRenderedPageBreak/>
        <w:drawing>
          <wp:anchor distT="0" distB="0" distL="0" distR="0" simplePos="0" relativeHeight="21" behindDoc="0" locked="0" layoutInCell="0" allowOverlap="1" wp14:anchorId="5348A218" wp14:editId="247F48E3">
            <wp:simplePos x="0" y="0"/>
            <wp:positionH relativeFrom="column">
              <wp:align>center</wp:align>
            </wp:positionH>
            <wp:positionV relativeFrom="paragraph">
              <wp:posOffset>635</wp:posOffset>
            </wp:positionV>
            <wp:extent cx="5926455" cy="2221865"/>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4"/>
                    <a:stretch>
                      <a:fillRect/>
                    </a:stretch>
                  </pic:blipFill>
                  <pic:spPr bwMode="auto">
                    <a:xfrm>
                      <a:off x="0" y="0"/>
                      <a:ext cx="5926455" cy="2221865"/>
                    </a:xfrm>
                    <a:prstGeom prst="rect">
                      <a:avLst/>
                    </a:prstGeom>
                  </pic:spPr>
                </pic:pic>
              </a:graphicData>
            </a:graphic>
          </wp:anchor>
        </w:drawing>
      </w:r>
    </w:p>
    <w:p w14:paraId="3EE939A5" w14:textId="77777777" w:rsidR="002F7B43" w:rsidRDefault="00C76170">
      <w:pPr>
        <w:rPr>
          <w:sz w:val="18"/>
          <w:szCs w:val="18"/>
        </w:rPr>
      </w:pPr>
      <w:r>
        <w:rPr>
          <w:rFonts w:ascii="Aptos" w:hAnsi="Aptos"/>
          <w:b/>
          <w:bCs/>
          <w:color w:val="000000"/>
          <w:sz w:val="18"/>
          <w:szCs w:val="18"/>
        </w:rPr>
        <w:t xml:space="preserve">Figure 3 </w:t>
      </w:r>
      <w:r>
        <w:rPr>
          <w:rFonts w:ascii="Aptos" w:hAnsi="Aptos"/>
          <w:color w:val="000000"/>
          <w:sz w:val="18"/>
          <w:szCs w:val="18"/>
        </w:rPr>
        <w:t>Intra-group genetic divergence in taxa at the family and suborder ranks as inferred by DEmARC. Pairwise patristic distance (PPD) were calculated for amino acid sequences of the order-wide conserved 3CLpro, NiRAN, RdRp, ZBD, an</w:t>
      </w:r>
      <w:r>
        <w:rPr>
          <w:rFonts w:ascii="Aptos" w:hAnsi="Aptos"/>
          <w:color w:val="000000"/>
          <w:sz w:val="18"/>
          <w:szCs w:val="18"/>
        </w:rPr>
        <w:t>d HEL1 domains. Three divergence ranges that are demarcated according to PPD thresholds are highlighted with distinct colors: intra-family (green), inter-family intra-suborder (blue), and inter-suborder (purple). For simplicity, the GTDV-1 family cluster i</w:t>
      </w:r>
      <w:r>
        <w:rPr>
          <w:rFonts w:ascii="Aptos" w:hAnsi="Aptos"/>
          <w:color w:val="000000"/>
          <w:sz w:val="18"/>
          <w:szCs w:val="18"/>
        </w:rPr>
        <w:t>s indicated by the virus acronym (left axis); the number of available unique virus sequences of the respective clusters are shown in brackets. Box-and-whisker graphs were used to plot distributions of distances between viruses belonging to the same taxon o</w:t>
      </w:r>
      <w:r>
        <w:rPr>
          <w:rFonts w:ascii="Aptos" w:hAnsi="Aptos"/>
          <w:color w:val="000000"/>
          <w:sz w:val="18"/>
          <w:szCs w:val="18"/>
        </w:rPr>
        <w:t>n the candidate classification level under consideration but belonging to different taxa on the previous level. The boxes span from the first to the third quartile and include the median (bold line); and the whiskers (dashed lines) extend to the extreme va</w:t>
      </w:r>
      <w:r>
        <w:rPr>
          <w:rFonts w:ascii="Aptos" w:hAnsi="Aptos"/>
          <w:color w:val="000000"/>
          <w:sz w:val="18"/>
          <w:szCs w:val="18"/>
        </w:rPr>
        <w:t>lues. No box-and whisker graphs are provided for singleton taxa that include a single virus.</w:t>
      </w:r>
      <w:r>
        <w:br w:type="page"/>
      </w:r>
    </w:p>
    <w:p w14:paraId="14554CE8" w14:textId="77777777" w:rsidR="002F7B43" w:rsidRDefault="00C76170">
      <w:pPr>
        <w:rPr>
          <w:sz w:val="18"/>
          <w:szCs w:val="18"/>
        </w:rPr>
      </w:pPr>
      <w:r>
        <w:rPr>
          <w:noProof/>
          <w:sz w:val="18"/>
          <w:szCs w:val="18"/>
        </w:rPr>
        <w:lastRenderedPageBreak/>
        <w:drawing>
          <wp:anchor distT="0" distB="0" distL="0" distR="0" simplePos="0" relativeHeight="22" behindDoc="0" locked="0" layoutInCell="0" allowOverlap="1" wp14:anchorId="421C01F5" wp14:editId="4783F782">
            <wp:simplePos x="0" y="0"/>
            <wp:positionH relativeFrom="column">
              <wp:align>center</wp:align>
            </wp:positionH>
            <wp:positionV relativeFrom="paragraph">
              <wp:posOffset>635</wp:posOffset>
            </wp:positionV>
            <wp:extent cx="5926455" cy="1563370"/>
            <wp:effectExtent l="0" t="0" r="0" b="0"/>
            <wp:wrapSquare wrapText="largest"/>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15"/>
                    <a:stretch>
                      <a:fillRect/>
                    </a:stretch>
                  </pic:blipFill>
                  <pic:spPr bwMode="auto">
                    <a:xfrm>
                      <a:off x="0" y="0"/>
                      <a:ext cx="5926455" cy="1563370"/>
                    </a:xfrm>
                    <a:prstGeom prst="rect">
                      <a:avLst/>
                    </a:prstGeom>
                  </pic:spPr>
                </pic:pic>
              </a:graphicData>
            </a:graphic>
          </wp:anchor>
        </w:drawing>
      </w:r>
    </w:p>
    <w:p w14:paraId="27740B38" w14:textId="2E8AD2DE" w:rsidR="002F7B43" w:rsidRDefault="00C76170">
      <w:pPr>
        <w:rPr>
          <w:sz w:val="18"/>
          <w:szCs w:val="18"/>
        </w:rPr>
      </w:pPr>
      <w:r>
        <w:rPr>
          <w:rFonts w:ascii="Aptos" w:hAnsi="Aptos"/>
          <w:b/>
          <w:bCs/>
          <w:color w:val="000000"/>
          <w:sz w:val="18"/>
          <w:szCs w:val="18"/>
        </w:rPr>
        <w:t>Figure 4.</w:t>
      </w:r>
      <w:r>
        <w:rPr>
          <w:rFonts w:ascii="Aptos" w:hAnsi="Aptos"/>
          <w:color w:val="000000"/>
          <w:sz w:val="18"/>
          <w:szCs w:val="18"/>
        </w:rPr>
        <w:t xml:space="preserve"> Genome map of </w:t>
      </w:r>
      <w:r w:rsidR="001254F1">
        <w:rPr>
          <w:rFonts w:ascii="Aptos" w:hAnsi="Aptos"/>
          <w:color w:val="000000"/>
          <w:sz w:val="18"/>
          <w:szCs w:val="18"/>
        </w:rPr>
        <w:t>g</w:t>
      </w:r>
      <w:r>
        <w:rPr>
          <w:rFonts w:ascii="Aptos" w:hAnsi="Aptos"/>
          <w:color w:val="000000"/>
          <w:sz w:val="18"/>
          <w:szCs w:val="18"/>
        </w:rPr>
        <w:t>lytrida</w:t>
      </w:r>
      <w:r w:rsidR="001254F1">
        <w:rPr>
          <w:rFonts w:ascii="Aptos" w:hAnsi="Aptos"/>
          <w:color w:val="000000"/>
          <w:sz w:val="18"/>
          <w:szCs w:val="18"/>
        </w:rPr>
        <w:t xml:space="preserve"> </w:t>
      </w:r>
      <w:r>
        <w:rPr>
          <w:rFonts w:ascii="Aptos" w:hAnsi="Aptos"/>
          <w:color w:val="000000"/>
          <w:sz w:val="18"/>
          <w:szCs w:val="18"/>
        </w:rPr>
        <w:t>virus 1 (GTDV-1). White rectangles are open reading frames (ORFs). The five conserved replicative protein domains used in the D</w:t>
      </w:r>
      <w:r>
        <w:rPr>
          <w:rFonts w:ascii="Aptos" w:hAnsi="Aptos"/>
          <w:color w:val="000000"/>
          <w:sz w:val="18"/>
          <w:szCs w:val="18"/>
        </w:rPr>
        <w:t>EmARC analysis are highlighted by color.</w:t>
      </w:r>
    </w:p>
    <w:p w14:paraId="29DF19E5" w14:textId="77777777" w:rsidR="002F7B43" w:rsidRDefault="002F7B43">
      <w:pPr>
        <w:rPr>
          <w:rFonts w:ascii="Aptos" w:hAnsi="Aptos"/>
          <w:color w:val="000000"/>
          <w:sz w:val="20"/>
          <w:szCs w:val="20"/>
        </w:rPr>
      </w:pPr>
    </w:p>
    <w:sectPr w:rsidR="002F7B43">
      <w:headerReference w:type="even" r:id="rId16"/>
      <w:headerReference w:type="default" r:id="rId17"/>
      <w:footerReference w:type="even" r:id="rId18"/>
      <w:footerReference w:type="default" r:id="rId19"/>
      <w:headerReference w:type="first" r:id="rId20"/>
      <w:footerReference w:type="firs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81B95" w14:textId="77777777" w:rsidR="00C76170" w:rsidRDefault="00C76170">
      <w:r>
        <w:separator/>
      </w:r>
    </w:p>
  </w:endnote>
  <w:endnote w:type="continuationSeparator" w:id="0">
    <w:p w14:paraId="5DC2B471" w14:textId="77777777" w:rsidR="00C76170" w:rsidRDefault="00C76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1"/>
    <w:family w:val="roman"/>
    <w:pitch w:val="variable"/>
  </w:font>
  <w:font w:name="OpenSymbol">
    <w:altName w:val="Cambria"/>
    <w:charset w:val="01"/>
    <w:family w:val="roman"/>
    <w:pitch w:val="variable"/>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Liberation Mono">
    <w:altName w:val="Courier New"/>
    <w:charset w:val="01"/>
    <w:family w:val="roman"/>
    <w:pitch w:val="variable"/>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6357" w14:textId="77777777" w:rsidR="002F7B43" w:rsidRDefault="002F7B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sdtContent>
      <w:p w14:paraId="1965F4F4" w14:textId="77777777" w:rsidR="002F7B43" w:rsidRDefault="00C76170">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15</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7772EBA3" w14:textId="77777777" w:rsidR="002F7B43" w:rsidRDefault="002F7B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14822"/>
      <w:docPartObj>
        <w:docPartGallery w:val="Page Numbers (Bottom of Page)"/>
        <w:docPartUnique/>
      </w:docPartObj>
    </w:sdtPr>
    <w:sdtEndPr/>
    <w:sdtContent>
      <w:p w14:paraId="6915D56C" w14:textId="77777777" w:rsidR="002F7B43" w:rsidRDefault="00C76170">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15</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05A97996" w14:textId="77777777" w:rsidR="002F7B43" w:rsidRDefault="002F7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CE338" w14:textId="77777777" w:rsidR="00C76170" w:rsidRDefault="00C76170">
      <w:r>
        <w:separator/>
      </w:r>
    </w:p>
  </w:footnote>
  <w:footnote w:type="continuationSeparator" w:id="0">
    <w:p w14:paraId="3CA74BF5" w14:textId="77777777" w:rsidR="00C76170" w:rsidRDefault="00C76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C5AA1" w14:textId="77777777" w:rsidR="002F7B43" w:rsidRDefault="002F7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27227" w14:textId="77777777" w:rsidR="002F7B43" w:rsidRDefault="00C76170">
    <w:pPr>
      <w:pStyle w:val="Header"/>
      <w:jc w:val="right"/>
      <w:rPr>
        <w:i/>
        <w:sz w:val="18"/>
        <w:szCs w:val="18"/>
      </w:rPr>
    </w:pPr>
    <w:r>
      <w:rPr>
        <w:noProof/>
      </w:rPr>
      <w:drawing>
        <wp:anchor distT="0" distB="0" distL="114300" distR="114300" simplePos="0" relativeHeight="251657216" behindDoc="1" locked="0" layoutInCell="0" allowOverlap="1" wp14:anchorId="49B8FFF2" wp14:editId="593FB297">
          <wp:simplePos x="0" y="0"/>
          <wp:positionH relativeFrom="margin">
            <wp:posOffset>243205</wp:posOffset>
          </wp:positionH>
          <wp:positionV relativeFrom="paragraph">
            <wp:posOffset>-106045</wp:posOffset>
          </wp:positionV>
          <wp:extent cx="560705" cy="344170"/>
          <wp:effectExtent l="0" t="0" r="0" b="0"/>
          <wp:wrapSquare wrapText="bothSides"/>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635D" w14:textId="77777777" w:rsidR="002F7B43" w:rsidRDefault="00C76170">
    <w:pPr>
      <w:pStyle w:val="Header"/>
      <w:jc w:val="right"/>
      <w:rPr>
        <w:i/>
        <w:sz w:val="18"/>
        <w:szCs w:val="18"/>
      </w:rPr>
    </w:pPr>
    <w:r>
      <w:rPr>
        <w:noProof/>
      </w:rPr>
      <w:drawing>
        <wp:anchor distT="0" distB="0" distL="114300" distR="114300" simplePos="0" relativeHeight="251658240" behindDoc="1" locked="0" layoutInCell="0" allowOverlap="1" wp14:anchorId="7BB33639" wp14:editId="25343413">
          <wp:simplePos x="0" y="0"/>
          <wp:positionH relativeFrom="margin">
            <wp:posOffset>243205</wp:posOffset>
          </wp:positionH>
          <wp:positionV relativeFrom="paragraph">
            <wp:posOffset>-106045</wp:posOffset>
          </wp:positionV>
          <wp:extent cx="560705" cy="344170"/>
          <wp:effectExtent l="0" t="0" r="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40C66"/>
    <w:multiLevelType w:val="multilevel"/>
    <w:tmpl w:val="9C90A8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45D3C5D"/>
    <w:multiLevelType w:val="multilevel"/>
    <w:tmpl w:val="D692328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BE368BE"/>
    <w:multiLevelType w:val="multilevel"/>
    <w:tmpl w:val="623E393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sz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5E553ACF"/>
    <w:multiLevelType w:val="multilevel"/>
    <w:tmpl w:val="C9AA1D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A584343"/>
    <w:multiLevelType w:val="multilevel"/>
    <w:tmpl w:val="3BAEFA9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F7B43"/>
    <w:rsid w:val="000458F7"/>
    <w:rsid w:val="00092FB1"/>
    <w:rsid w:val="0011592F"/>
    <w:rsid w:val="0012186F"/>
    <w:rsid w:val="001254F1"/>
    <w:rsid w:val="001D1022"/>
    <w:rsid w:val="002F7B43"/>
    <w:rsid w:val="00410F79"/>
    <w:rsid w:val="006867B9"/>
    <w:rsid w:val="00931E17"/>
    <w:rsid w:val="00957192"/>
    <w:rsid w:val="009B6A5C"/>
    <w:rsid w:val="00C7617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77150F"/>
  <w15:docId w15:val="{4ABF9194-9462-469F-A2AB-D7B21F178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styleId="Hyperlink">
    <w:name w:val="Hyperlink"/>
    <w:basedOn w:val="DefaultParagraphFont"/>
    <w:unhideWhenUsed/>
    <w:rsid w:val="00437970"/>
    <w:rPr>
      <w:color w:val="0563C1" w:themeColor="hyperlink"/>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paragraph" w:customStyle="1" w:styleId="Comment">
    <w:name w:val="Comment"/>
    <w:basedOn w:val="Normal"/>
    <w:qFormat/>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PreformattedText">
    <w:name w:val="Preformatted Text"/>
    <w:basedOn w:val="Normal"/>
    <w:qFormat/>
    <w:rPr>
      <w:rFonts w:ascii="Liberation Mono" w:eastAsia="Liberation Mono" w:hAnsi="Liberation Mono" w:cs="Liberation Mono"/>
      <w:sz w:val="20"/>
      <w:szCs w:val="20"/>
    </w:r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ti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tif"/><Relationship Id="rId23" Type="http://schemas.openxmlformats.org/officeDocument/2006/relationships/theme" Target="theme/theme1.xml"/><Relationship Id="rId10" Type="http://schemas.openxmlformats.org/officeDocument/2006/relationships/hyperlink" Target="https://ictv.global/sc"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ti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14</Pages>
  <Words>2730</Words>
  <Characters>15567</Characters>
  <Application>Microsoft Office Word</Application>
  <DocSecurity>0</DocSecurity>
  <Lines>129</Lines>
  <Paragraphs>36</Paragraphs>
  <ScaleCrop>false</ScaleCrop>
  <Company/>
  <LinksUpToDate>false</LinksUpToDate>
  <CharactersWithSpaces>18261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17</cp:revision>
  <cp:lastPrinted>2026-09-17T08:06:00Z</cp:lastPrinted>
  <dcterms:created xsi:type="dcterms:W3CDTF">2026-09-17T08:33:00Z</dcterms:created>
  <dcterms:modified xsi:type="dcterms:W3CDTF">2026-10-01T10:17:00Z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