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373798" w:rsidRDefault="008815EE">
      <w:pPr>
        <w:rPr>
          <w:rFonts w:ascii="Aptos" w:hAnsi="Aptos"/>
        </w:rPr>
      </w:pPr>
      <w:r w:rsidRPr="00373798">
        <w:rPr>
          <w:rFonts w:ascii="Aptos" w:hAnsi="Aptos"/>
          <w:noProof/>
          <w:lang w:val="ru-RU" w:eastAsia="ru-RU"/>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sidRPr="00373798">
        <w:rPr>
          <w:rFonts w:ascii="Aptos" w:hAnsi="Aptos"/>
        </w:rPr>
        <w:tab/>
      </w:r>
    </w:p>
    <w:p w14:paraId="6E66958E" w14:textId="77777777" w:rsidR="00A174CC" w:rsidRPr="00373798" w:rsidRDefault="00A174CC">
      <w:pPr>
        <w:rPr>
          <w:rFonts w:ascii="Aptos" w:hAnsi="Aptos" w:cs="Arial"/>
          <w:color w:val="0000FF"/>
          <w:sz w:val="20"/>
          <w:szCs w:val="20"/>
        </w:rPr>
      </w:pPr>
    </w:p>
    <w:p w14:paraId="708456F4" w14:textId="77777777" w:rsidR="00A174CC" w:rsidRPr="00373798" w:rsidRDefault="00A174CC">
      <w:pPr>
        <w:rPr>
          <w:rFonts w:ascii="Aptos" w:hAnsi="Aptos" w:cs="Arial"/>
          <w:color w:val="0000FF"/>
          <w:sz w:val="20"/>
          <w:szCs w:val="20"/>
        </w:rPr>
      </w:pPr>
    </w:p>
    <w:p w14:paraId="2008BDE9" w14:textId="77777777" w:rsidR="00A174CC" w:rsidRPr="00373798" w:rsidRDefault="00A174CC">
      <w:pPr>
        <w:rPr>
          <w:rFonts w:ascii="Aptos" w:hAnsi="Aptos" w:cs="Arial"/>
          <w:color w:val="0000FF"/>
          <w:sz w:val="20"/>
          <w:szCs w:val="20"/>
        </w:rPr>
      </w:pPr>
    </w:p>
    <w:p w14:paraId="0A6A6372" w14:textId="77777777" w:rsidR="00A174CC" w:rsidRPr="00373798" w:rsidRDefault="00A174CC">
      <w:pPr>
        <w:rPr>
          <w:rFonts w:ascii="Aptos" w:hAnsi="Aptos" w:cs="Arial"/>
          <w:color w:val="0000FF"/>
          <w:sz w:val="20"/>
          <w:szCs w:val="20"/>
        </w:rPr>
      </w:pPr>
    </w:p>
    <w:p w14:paraId="2E75D10D" w14:textId="2FE7F010" w:rsidR="00A174CC" w:rsidRPr="00373798" w:rsidRDefault="00A174CC">
      <w:pPr>
        <w:rPr>
          <w:rFonts w:ascii="Aptos" w:hAnsi="Aptos" w:cs="Arial"/>
          <w:color w:val="0000FF"/>
          <w:sz w:val="20"/>
          <w:szCs w:val="20"/>
        </w:rPr>
      </w:pPr>
    </w:p>
    <w:p w14:paraId="6FF165AF" w14:textId="1D1DDA3C" w:rsidR="007E667B" w:rsidRPr="00373798" w:rsidRDefault="007E667B" w:rsidP="007E667B">
      <w:pPr>
        <w:jc w:val="center"/>
        <w:rPr>
          <w:rFonts w:ascii="Aptos" w:hAnsi="Aptos" w:cs="Arial"/>
          <w:color w:val="000000" w:themeColor="text1"/>
        </w:rPr>
      </w:pPr>
      <w:r w:rsidRPr="00373798">
        <w:rPr>
          <w:rFonts w:ascii="Aptos" w:hAnsi="Aptos" w:cs="Arial"/>
          <w:color w:val="000000" w:themeColor="text1"/>
        </w:rPr>
        <w:t xml:space="preserve">The International Committee </w:t>
      </w:r>
      <w:r w:rsidR="00382FE8" w:rsidRPr="00373798">
        <w:rPr>
          <w:rFonts w:ascii="Aptos" w:hAnsi="Aptos" w:cs="Arial"/>
          <w:color w:val="000000" w:themeColor="text1"/>
        </w:rPr>
        <w:t>on</w:t>
      </w:r>
      <w:r w:rsidRPr="00373798">
        <w:rPr>
          <w:rFonts w:ascii="Aptos" w:hAnsi="Aptos" w:cs="Arial"/>
          <w:color w:val="000000" w:themeColor="text1"/>
        </w:rPr>
        <w:t xml:space="preserve"> Taxonomy of Viruses</w:t>
      </w:r>
    </w:p>
    <w:p w14:paraId="57C569A0" w14:textId="1A849B48" w:rsidR="007E667B" w:rsidRPr="00373798" w:rsidRDefault="007E667B" w:rsidP="00ED4569">
      <w:pPr>
        <w:jc w:val="center"/>
        <w:rPr>
          <w:rFonts w:ascii="Aptos" w:hAnsi="Aptos" w:cs="Arial"/>
          <w:color w:val="000000" w:themeColor="text1"/>
        </w:rPr>
      </w:pPr>
      <w:r w:rsidRPr="00373798">
        <w:rPr>
          <w:rFonts w:ascii="Aptos" w:hAnsi="Aptos" w:cs="Arial"/>
          <w:color w:val="000000" w:themeColor="text1"/>
        </w:rPr>
        <w:t>Taxonomy Proposal Form,</w:t>
      </w:r>
      <w:r w:rsidR="00ED4569" w:rsidRPr="00373798">
        <w:rPr>
          <w:rFonts w:ascii="Aptos" w:hAnsi="Aptos" w:cs="Arial"/>
          <w:color w:val="000000" w:themeColor="text1"/>
        </w:rPr>
        <w:t xml:space="preserve"> 202</w:t>
      </w:r>
      <w:r w:rsidR="003E0AEA" w:rsidRPr="00373798">
        <w:rPr>
          <w:rFonts w:ascii="Aptos" w:hAnsi="Aptos" w:cs="Arial"/>
          <w:color w:val="000000" w:themeColor="text1"/>
        </w:rPr>
        <w:t>6</w:t>
      </w:r>
      <w:r w:rsidRPr="00373798">
        <w:rPr>
          <w:rFonts w:ascii="Aptos" w:hAnsi="Aptos" w:cs="Arial"/>
          <w:color w:val="000000" w:themeColor="text1"/>
        </w:rPr>
        <w:t xml:space="preserve"> </w:t>
      </w:r>
    </w:p>
    <w:p w14:paraId="62F097BF" w14:textId="77777777" w:rsidR="007E667B" w:rsidRPr="00373798" w:rsidRDefault="007E667B">
      <w:pPr>
        <w:rPr>
          <w:rFonts w:ascii="Aptos" w:hAnsi="Aptos" w:cs="Arial"/>
          <w:color w:val="0000FF"/>
        </w:rPr>
      </w:pPr>
    </w:p>
    <w:p w14:paraId="78E1A1E2" w14:textId="77777777" w:rsidR="00A174CC" w:rsidRPr="00373798" w:rsidRDefault="00A174CC">
      <w:pPr>
        <w:rPr>
          <w:rFonts w:ascii="Aptos" w:hAnsi="Aptos" w:cs="Arial"/>
          <w:color w:val="0000FF"/>
          <w:sz w:val="20"/>
          <w:szCs w:val="20"/>
        </w:rPr>
      </w:pPr>
    </w:p>
    <w:p w14:paraId="5F396E33" w14:textId="0C036156" w:rsidR="00A174CC" w:rsidRPr="00373798" w:rsidRDefault="00BE4F5A">
      <w:pPr>
        <w:rPr>
          <w:rFonts w:ascii="Aptos" w:hAnsi="Aptos" w:cs="Arial"/>
          <w:b/>
          <w:color w:val="000000"/>
          <w:sz w:val="20"/>
          <w:szCs w:val="20"/>
        </w:rPr>
      </w:pPr>
      <w:r w:rsidRPr="00373798">
        <w:rPr>
          <w:rFonts w:ascii="Aptos" w:hAnsi="Aptos" w:cs="Arial"/>
          <w:b/>
          <w:color w:val="000000"/>
          <w:sz w:val="20"/>
          <w:szCs w:val="20"/>
        </w:rPr>
        <w:t>Part 1a: Details of taxonomy proposals</w:t>
      </w:r>
    </w:p>
    <w:p w14:paraId="3783A040" w14:textId="77777777" w:rsidR="00BE4F5A" w:rsidRPr="00373798"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373798"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373798" w:rsidRDefault="00E37077" w:rsidP="00DD58AA">
            <w:pPr>
              <w:rPr>
                <w:rFonts w:ascii="Aptos" w:hAnsi="Aptos" w:cs="Arial"/>
                <w:sz w:val="20"/>
              </w:rPr>
            </w:pPr>
            <w:r w:rsidRPr="00373798">
              <w:rPr>
                <w:rFonts w:ascii="Aptos" w:hAnsi="Aptos" w:cs="Arial"/>
                <w:b/>
                <w:bCs/>
                <w:color w:val="000000"/>
                <w:sz w:val="20"/>
                <w:szCs w:val="20"/>
              </w:rPr>
              <w:t>T</w:t>
            </w:r>
            <w:r w:rsidRPr="00373798">
              <w:rPr>
                <w:rFonts w:ascii="Aptos" w:hAnsi="Aptos" w:cs="Arial"/>
                <w:b/>
                <w:color w:val="000000"/>
                <w:sz w:val="20"/>
                <w:szCs w:val="20"/>
              </w:rPr>
              <w:t>itle</w:t>
            </w:r>
            <w:r w:rsidR="006C0F51" w:rsidRPr="00373798">
              <w:rPr>
                <w:rFonts w:ascii="Aptos" w:hAnsi="Aptos" w:cs="Arial"/>
                <w:b/>
                <w:color w:val="000000"/>
                <w:sz w:val="20"/>
                <w:szCs w:val="20"/>
              </w:rPr>
              <w:t>:</w:t>
            </w:r>
            <w:r w:rsidRPr="00373798">
              <w:rPr>
                <w:rFonts w:ascii="Aptos" w:hAnsi="Aptos" w:cs="Arial"/>
                <w:b/>
                <w:color w:val="000000"/>
                <w:sz w:val="20"/>
                <w:szCs w:val="20"/>
              </w:rPr>
              <w:t xml:space="preserve">   </w:t>
            </w:r>
          </w:p>
        </w:tc>
        <w:tc>
          <w:tcPr>
            <w:tcW w:w="7361" w:type="dxa"/>
            <w:vAlign w:val="center"/>
          </w:tcPr>
          <w:p w14:paraId="693BF175" w14:textId="7ADAEEFE" w:rsidR="00E37077" w:rsidRPr="00373798" w:rsidRDefault="004F6110" w:rsidP="00DD58AA">
            <w:pPr>
              <w:rPr>
                <w:rFonts w:ascii="Aptos" w:hAnsi="Aptos" w:cs="Arial"/>
                <w:color w:val="000000" w:themeColor="text1"/>
                <w:sz w:val="20"/>
              </w:rPr>
            </w:pPr>
            <w:r w:rsidRPr="00373798">
              <w:rPr>
                <w:rFonts w:ascii="Aptos" w:hAnsi="Aptos" w:cs="Arial"/>
                <w:color w:val="000000" w:themeColor="text1"/>
                <w:sz w:val="20"/>
              </w:rPr>
              <w:t>A phylogenetically supported framework for species demarcation in tick-borne orthoflaviviruses</w:t>
            </w:r>
          </w:p>
        </w:tc>
      </w:tr>
      <w:tr w:rsidR="00E37077" w:rsidRPr="00373798" w14:paraId="6479468A" w14:textId="77777777" w:rsidTr="00106232">
        <w:tc>
          <w:tcPr>
            <w:tcW w:w="1853" w:type="dxa"/>
            <w:shd w:val="clear" w:color="auto" w:fill="F2F2F2" w:themeFill="background1" w:themeFillShade="F2"/>
            <w:vAlign w:val="center"/>
          </w:tcPr>
          <w:p w14:paraId="39458214" w14:textId="7ED90AF4" w:rsidR="00E37077" w:rsidRPr="00373798" w:rsidRDefault="00E37077" w:rsidP="00DD58AA">
            <w:pPr>
              <w:pStyle w:val="BodyTextIndent"/>
              <w:ind w:left="0" w:firstLine="0"/>
              <w:rPr>
                <w:rFonts w:ascii="Aptos" w:hAnsi="Aptos" w:cs="Arial"/>
                <w:b/>
                <w:i/>
                <w:sz w:val="20"/>
              </w:rPr>
            </w:pPr>
            <w:r w:rsidRPr="00373798">
              <w:rPr>
                <w:rFonts w:ascii="Aptos" w:hAnsi="Aptos" w:cs="Arial"/>
                <w:b/>
                <w:sz w:val="20"/>
              </w:rPr>
              <w:t xml:space="preserve">Code assigned: </w:t>
            </w:r>
          </w:p>
        </w:tc>
        <w:tc>
          <w:tcPr>
            <w:tcW w:w="7371" w:type="dxa"/>
            <w:gridSpan w:val="2"/>
          </w:tcPr>
          <w:p w14:paraId="3A9C1428" w14:textId="6168E8EA" w:rsidR="00E37077" w:rsidRPr="00373798" w:rsidRDefault="00E37077" w:rsidP="00DD58AA">
            <w:pPr>
              <w:pStyle w:val="BodyTextIndent"/>
              <w:ind w:left="0" w:firstLine="0"/>
              <w:rPr>
                <w:rFonts w:ascii="Aptos" w:hAnsi="Aptos" w:cs="Arial"/>
                <w:bCs/>
                <w:i/>
                <w:sz w:val="20"/>
              </w:rPr>
            </w:pPr>
          </w:p>
        </w:tc>
      </w:tr>
    </w:tbl>
    <w:p w14:paraId="227C6F3B" w14:textId="1E7A1DCE" w:rsidR="00590DF3" w:rsidRPr="00373798"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rsidRPr="00373798" w14:paraId="46D8D295" w14:textId="4B68158E" w:rsidTr="00DE01F5">
        <w:trPr>
          <w:trHeight w:val="173"/>
        </w:trPr>
        <w:tc>
          <w:tcPr>
            <w:tcW w:w="9323" w:type="dxa"/>
            <w:gridSpan w:val="5"/>
            <w:shd w:val="clear" w:color="auto" w:fill="F2F2F2" w:themeFill="background1" w:themeFillShade="F2"/>
          </w:tcPr>
          <w:p w14:paraId="730FC69E" w14:textId="10BC388B" w:rsidR="002D4340" w:rsidRPr="00373798" w:rsidRDefault="002D4340" w:rsidP="00DD58AA">
            <w:pPr>
              <w:rPr>
                <w:rFonts w:ascii="Aptos" w:hAnsi="Aptos" w:cs="Arial"/>
                <w:b/>
                <w:sz w:val="20"/>
                <w:szCs w:val="20"/>
              </w:rPr>
            </w:pPr>
            <w:r w:rsidRPr="00373798">
              <w:rPr>
                <w:rFonts w:ascii="Aptos" w:hAnsi="Aptos" w:cs="Arial"/>
                <w:b/>
                <w:sz w:val="20"/>
                <w:szCs w:val="20"/>
              </w:rPr>
              <w:t xml:space="preserve">Author(s), affiliation and email address(es):  </w:t>
            </w:r>
          </w:p>
        </w:tc>
      </w:tr>
      <w:tr w:rsidR="002D4340" w:rsidRPr="00373798"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373798" w:rsidRDefault="00F943F9" w:rsidP="00DD58AA">
            <w:pPr>
              <w:rPr>
                <w:rFonts w:ascii="Aptos" w:hAnsi="Aptos" w:cs="Arial"/>
                <w:sz w:val="18"/>
                <w:szCs w:val="18"/>
              </w:rPr>
            </w:pPr>
            <w:r w:rsidRPr="00373798">
              <w:rPr>
                <w:rFonts w:ascii="Aptos" w:hAnsi="Aptos" w:cs="Arial"/>
                <w:b/>
                <w:sz w:val="20"/>
                <w:szCs w:val="20"/>
              </w:rPr>
              <w:t>Given name (+middle initial(s)</w:t>
            </w:r>
            <w:r w:rsidR="00BD6C0B" w:rsidRPr="00373798">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373798" w:rsidRDefault="00F943F9" w:rsidP="00DD58AA">
            <w:pPr>
              <w:rPr>
                <w:rFonts w:ascii="Aptos" w:hAnsi="Aptos" w:cs="Arial"/>
                <w:b/>
                <w:sz w:val="20"/>
                <w:szCs w:val="20"/>
              </w:rPr>
            </w:pPr>
            <w:r w:rsidRPr="00373798">
              <w:rPr>
                <w:rFonts w:ascii="Aptos" w:hAnsi="Aptos" w:cs="Arial"/>
                <w:b/>
                <w:sz w:val="20"/>
                <w:szCs w:val="20"/>
              </w:rPr>
              <w:t>Surname</w:t>
            </w:r>
          </w:p>
        </w:tc>
        <w:tc>
          <w:tcPr>
            <w:tcW w:w="2835" w:type="dxa"/>
            <w:shd w:val="clear" w:color="auto" w:fill="F2F2F2" w:themeFill="background1" w:themeFillShade="F2"/>
            <w:vAlign w:val="center"/>
          </w:tcPr>
          <w:p w14:paraId="31CF02AA" w14:textId="6C28348F" w:rsidR="002D4340" w:rsidRPr="00373798" w:rsidRDefault="002D4340" w:rsidP="00DD58AA">
            <w:pPr>
              <w:rPr>
                <w:rFonts w:ascii="Aptos" w:hAnsi="Aptos" w:cs="Arial"/>
                <w:b/>
                <w:sz w:val="20"/>
                <w:szCs w:val="20"/>
              </w:rPr>
            </w:pPr>
            <w:r w:rsidRPr="00373798">
              <w:rPr>
                <w:rFonts w:ascii="Aptos" w:hAnsi="Aptos" w:cs="Arial"/>
                <w:b/>
                <w:sz w:val="20"/>
                <w:szCs w:val="20"/>
              </w:rPr>
              <w:t xml:space="preserve">Affiliation </w:t>
            </w:r>
          </w:p>
        </w:tc>
        <w:tc>
          <w:tcPr>
            <w:tcW w:w="2126" w:type="dxa"/>
            <w:shd w:val="clear" w:color="auto" w:fill="F2F2F2" w:themeFill="background1" w:themeFillShade="F2"/>
            <w:vAlign w:val="center"/>
          </w:tcPr>
          <w:p w14:paraId="6DA5FEAF" w14:textId="1FD1F6AD" w:rsidR="002D4340" w:rsidRPr="00373798" w:rsidRDefault="002D4340" w:rsidP="00DD58AA">
            <w:pPr>
              <w:rPr>
                <w:rFonts w:ascii="Aptos" w:hAnsi="Aptos" w:cs="Arial"/>
                <w:b/>
                <w:sz w:val="20"/>
                <w:szCs w:val="20"/>
              </w:rPr>
            </w:pPr>
            <w:r w:rsidRPr="00373798">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Pr="00373798" w:rsidRDefault="002D4340" w:rsidP="00AF4998">
            <w:pPr>
              <w:rPr>
                <w:rFonts w:ascii="Aptos" w:hAnsi="Aptos" w:cs="Arial"/>
                <w:b/>
                <w:sz w:val="20"/>
                <w:szCs w:val="20"/>
              </w:rPr>
            </w:pPr>
            <w:r w:rsidRPr="00373798">
              <w:rPr>
                <w:rFonts w:ascii="Aptos" w:hAnsi="Aptos" w:cs="Arial"/>
                <w:b/>
                <w:sz w:val="20"/>
                <w:szCs w:val="20"/>
              </w:rPr>
              <w:t>Corr</w:t>
            </w:r>
            <w:r w:rsidR="00F943F9" w:rsidRPr="00373798">
              <w:rPr>
                <w:rFonts w:ascii="Aptos" w:hAnsi="Aptos" w:cs="Arial"/>
                <w:b/>
                <w:sz w:val="20"/>
                <w:szCs w:val="20"/>
              </w:rPr>
              <w:t xml:space="preserve">. </w:t>
            </w:r>
            <w:r w:rsidRPr="00373798">
              <w:rPr>
                <w:rFonts w:ascii="Aptos" w:hAnsi="Aptos" w:cs="Arial"/>
                <w:b/>
                <w:sz w:val="20"/>
                <w:szCs w:val="20"/>
              </w:rPr>
              <w:t xml:space="preserve">author(s)  </w:t>
            </w:r>
          </w:p>
          <w:p w14:paraId="1F78D756" w14:textId="41169140" w:rsidR="002D4340" w:rsidRPr="00373798" w:rsidRDefault="002D4340" w:rsidP="00AF4998">
            <w:pPr>
              <w:rPr>
                <w:rFonts w:ascii="Aptos" w:hAnsi="Aptos" w:cs="Arial"/>
                <w:color w:val="0070C0"/>
                <w:sz w:val="20"/>
                <w:szCs w:val="20"/>
              </w:rPr>
            </w:pPr>
          </w:p>
        </w:tc>
      </w:tr>
      <w:tr w:rsidR="002D4340" w:rsidRPr="00373798" w14:paraId="24E4F537" w14:textId="79E9BB15" w:rsidTr="00BD6C0B">
        <w:tc>
          <w:tcPr>
            <w:tcW w:w="1838" w:type="dxa"/>
            <w:shd w:val="clear" w:color="auto" w:fill="FFFFFF" w:themeFill="background1"/>
            <w:vAlign w:val="center"/>
          </w:tcPr>
          <w:p w14:paraId="6EA9DED5" w14:textId="3A8CA629" w:rsidR="002D4340" w:rsidRPr="00373798" w:rsidRDefault="00EC76C2" w:rsidP="00E863D4">
            <w:pPr>
              <w:rPr>
                <w:rFonts w:ascii="Aptos" w:hAnsi="Aptos" w:cs="Arial"/>
                <w:bCs/>
                <w:color w:val="000000" w:themeColor="text1"/>
                <w:sz w:val="20"/>
                <w:szCs w:val="20"/>
              </w:rPr>
            </w:pPr>
            <w:r w:rsidRPr="00373798">
              <w:rPr>
                <w:rFonts w:ascii="Aptos" w:hAnsi="Aptos" w:cs="Arial"/>
                <w:bCs/>
                <w:color w:val="000000" w:themeColor="text1"/>
                <w:sz w:val="20"/>
                <w:szCs w:val="20"/>
              </w:rPr>
              <w:t>Andrei A.</w:t>
            </w:r>
          </w:p>
        </w:tc>
        <w:tc>
          <w:tcPr>
            <w:tcW w:w="1418" w:type="dxa"/>
            <w:shd w:val="clear" w:color="auto" w:fill="FFFFFF" w:themeFill="background1"/>
            <w:vAlign w:val="center"/>
          </w:tcPr>
          <w:p w14:paraId="2759B022" w14:textId="3DE67DF9" w:rsidR="002D4340" w:rsidRPr="00373798" w:rsidRDefault="00EC76C2" w:rsidP="00E863D4">
            <w:pPr>
              <w:rPr>
                <w:rFonts w:ascii="Aptos" w:hAnsi="Aptos" w:cs="Arial"/>
                <w:bCs/>
                <w:color w:val="000000" w:themeColor="text1"/>
                <w:sz w:val="20"/>
                <w:szCs w:val="20"/>
              </w:rPr>
            </w:pPr>
            <w:proofErr w:type="spellStart"/>
            <w:r w:rsidRPr="00373798">
              <w:rPr>
                <w:rFonts w:ascii="Aptos" w:hAnsi="Aptos" w:cs="Arial"/>
                <w:bCs/>
                <w:color w:val="000000" w:themeColor="text1"/>
                <w:sz w:val="20"/>
                <w:szCs w:val="20"/>
              </w:rPr>
              <w:t>Deviatkin</w:t>
            </w:r>
            <w:proofErr w:type="spellEnd"/>
          </w:p>
        </w:tc>
        <w:tc>
          <w:tcPr>
            <w:tcW w:w="2835" w:type="dxa"/>
            <w:shd w:val="clear" w:color="auto" w:fill="FFFFFF" w:themeFill="background1"/>
            <w:vAlign w:val="center"/>
          </w:tcPr>
          <w:p w14:paraId="05D68F1D" w14:textId="78CF3E28" w:rsidR="002D4340" w:rsidRPr="00373798" w:rsidRDefault="004F6110" w:rsidP="00E863D4">
            <w:pPr>
              <w:rPr>
                <w:rFonts w:ascii="Aptos" w:hAnsi="Aptos" w:cs="Arial"/>
                <w:bCs/>
                <w:color w:val="000000" w:themeColor="text1"/>
                <w:sz w:val="20"/>
                <w:szCs w:val="20"/>
              </w:rPr>
            </w:pPr>
            <w:r w:rsidRPr="00373798">
              <w:rPr>
                <w:rFonts w:ascii="Aptos" w:hAnsi="Aptos"/>
                <w:snapToGrid w:val="0"/>
                <w:sz w:val="20"/>
                <w:szCs w:val="20"/>
                <w14:ligatures w14:val="standardContextual"/>
              </w:rPr>
              <w:t xml:space="preserve">Laboratory of Postgenomic Technologies, </w:t>
            </w:r>
            <w:proofErr w:type="spellStart"/>
            <w:r w:rsidRPr="00373798">
              <w:rPr>
                <w:rFonts w:ascii="Aptos" w:hAnsi="Aptos"/>
                <w:snapToGrid w:val="0"/>
                <w:sz w:val="20"/>
                <w:szCs w:val="20"/>
                <w14:ligatures w14:val="standardContextual"/>
              </w:rPr>
              <w:t>Izmerov</w:t>
            </w:r>
            <w:proofErr w:type="spellEnd"/>
            <w:r w:rsidRPr="00373798">
              <w:rPr>
                <w:rFonts w:ascii="Aptos" w:hAnsi="Aptos"/>
                <w:snapToGrid w:val="0"/>
                <w:sz w:val="20"/>
                <w:szCs w:val="20"/>
                <w14:ligatures w14:val="standardContextual"/>
              </w:rPr>
              <w:t xml:space="preserve"> Research Institute of Occupational Health, 105275 Moscow, Russia</w:t>
            </w:r>
          </w:p>
        </w:tc>
        <w:tc>
          <w:tcPr>
            <w:tcW w:w="2126" w:type="dxa"/>
            <w:shd w:val="clear" w:color="auto" w:fill="FFFFFF" w:themeFill="background1"/>
            <w:vAlign w:val="center"/>
          </w:tcPr>
          <w:p w14:paraId="133CF739" w14:textId="02538799" w:rsidR="002D4340" w:rsidRPr="00373798" w:rsidRDefault="00373798" w:rsidP="00E863D4">
            <w:pPr>
              <w:rPr>
                <w:rFonts w:ascii="Aptos" w:hAnsi="Aptos" w:cs="Arial"/>
                <w:bCs/>
                <w:color w:val="000000" w:themeColor="text1"/>
                <w:sz w:val="20"/>
                <w:szCs w:val="20"/>
              </w:rPr>
            </w:pPr>
            <w:r w:rsidRPr="00373798">
              <w:rPr>
                <w:rFonts w:ascii="Aptos" w:hAnsi="Aptos" w:cs="Arial"/>
                <w:bCs/>
                <w:color w:val="000000" w:themeColor="text1"/>
                <w:sz w:val="20"/>
                <w:szCs w:val="20"/>
              </w:rPr>
              <w:t>andreideviatkin@gmail.com</w:t>
            </w:r>
          </w:p>
        </w:tc>
        <w:tc>
          <w:tcPr>
            <w:tcW w:w="1106" w:type="dxa"/>
            <w:shd w:val="clear" w:color="auto" w:fill="FFFFFF" w:themeFill="background1"/>
            <w:vAlign w:val="center"/>
          </w:tcPr>
          <w:p w14:paraId="16BB015A" w14:textId="4E7B9B8A" w:rsidR="002D4340" w:rsidRPr="00373798" w:rsidRDefault="00EC76C2" w:rsidP="00E863D4">
            <w:pPr>
              <w:jc w:val="center"/>
              <w:rPr>
                <w:rFonts w:ascii="Aptos" w:hAnsi="Aptos" w:cs="Arial"/>
                <w:bCs/>
                <w:color w:val="000000" w:themeColor="text1"/>
                <w:sz w:val="20"/>
                <w:szCs w:val="20"/>
              </w:rPr>
            </w:pPr>
            <w:r w:rsidRPr="00373798">
              <w:rPr>
                <w:rFonts w:ascii="Aptos" w:hAnsi="Aptos" w:cs="Arial"/>
                <w:bCs/>
                <w:color w:val="000000" w:themeColor="text1"/>
                <w:sz w:val="20"/>
                <w:szCs w:val="20"/>
              </w:rPr>
              <w:t>X</w:t>
            </w:r>
          </w:p>
        </w:tc>
      </w:tr>
      <w:tr w:rsidR="002D4340" w:rsidRPr="00373798" w14:paraId="25991084" w14:textId="1F2FA2C1" w:rsidTr="00BD6C0B">
        <w:tc>
          <w:tcPr>
            <w:tcW w:w="1838" w:type="dxa"/>
            <w:vAlign w:val="center"/>
          </w:tcPr>
          <w:p w14:paraId="7E9FF899" w14:textId="288B75E7" w:rsidR="002D4340" w:rsidRPr="00373798" w:rsidRDefault="00EC76C2" w:rsidP="00E863D4">
            <w:pPr>
              <w:rPr>
                <w:rFonts w:ascii="Aptos" w:hAnsi="Aptos" w:cs="Arial"/>
                <w:bCs/>
                <w:color w:val="000000" w:themeColor="text1"/>
                <w:sz w:val="20"/>
                <w:szCs w:val="20"/>
              </w:rPr>
            </w:pPr>
            <w:proofErr w:type="spellStart"/>
            <w:r w:rsidRPr="00373798">
              <w:rPr>
                <w:rFonts w:ascii="Aptos" w:hAnsi="Aptos" w:cs="Arial"/>
                <w:sz w:val="20"/>
                <w:szCs w:val="20"/>
              </w:rPr>
              <w:t>Yulia</w:t>
            </w:r>
            <w:proofErr w:type="spellEnd"/>
            <w:r w:rsidRPr="00373798">
              <w:rPr>
                <w:rFonts w:ascii="Aptos" w:hAnsi="Aptos" w:cs="Arial"/>
                <w:sz w:val="20"/>
                <w:szCs w:val="20"/>
              </w:rPr>
              <w:t xml:space="preserve"> A.</w:t>
            </w:r>
          </w:p>
        </w:tc>
        <w:tc>
          <w:tcPr>
            <w:tcW w:w="1418" w:type="dxa"/>
            <w:vAlign w:val="center"/>
          </w:tcPr>
          <w:p w14:paraId="065089F1" w14:textId="1F5FE3EF" w:rsidR="002D4340" w:rsidRPr="00373798" w:rsidRDefault="00EC76C2" w:rsidP="00E863D4">
            <w:pPr>
              <w:rPr>
                <w:rFonts w:ascii="Aptos" w:hAnsi="Aptos" w:cs="Arial"/>
                <w:bCs/>
                <w:color w:val="000000" w:themeColor="text1"/>
                <w:sz w:val="20"/>
                <w:szCs w:val="20"/>
              </w:rPr>
            </w:pPr>
            <w:proofErr w:type="spellStart"/>
            <w:r w:rsidRPr="00373798">
              <w:rPr>
                <w:rFonts w:ascii="Aptos" w:hAnsi="Aptos" w:cs="Arial"/>
                <w:bCs/>
                <w:color w:val="000000" w:themeColor="text1"/>
                <w:sz w:val="20"/>
                <w:szCs w:val="20"/>
              </w:rPr>
              <w:t>Aleshina</w:t>
            </w:r>
            <w:proofErr w:type="spellEnd"/>
          </w:p>
        </w:tc>
        <w:tc>
          <w:tcPr>
            <w:tcW w:w="2835" w:type="dxa"/>
            <w:vAlign w:val="center"/>
          </w:tcPr>
          <w:p w14:paraId="5A10F992" w14:textId="4F6D116E" w:rsidR="002D4340" w:rsidRPr="00373798" w:rsidRDefault="00EC76C2" w:rsidP="00E863D4">
            <w:pPr>
              <w:rPr>
                <w:rFonts w:ascii="Aptos" w:hAnsi="Aptos" w:cs="Arial"/>
                <w:bCs/>
                <w:color w:val="000000" w:themeColor="text1"/>
                <w:sz w:val="20"/>
                <w:szCs w:val="20"/>
              </w:rPr>
            </w:pPr>
            <w:proofErr w:type="spellStart"/>
            <w:r w:rsidRPr="00373798">
              <w:rPr>
                <w:rFonts w:ascii="Aptos" w:hAnsi="Aptos"/>
                <w:snapToGrid w:val="0"/>
                <w:sz w:val="20"/>
                <w:szCs w:val="20"/>
                <w14:ligatures w14:val="standardContextual"/>
              </w:rPr>
              <w:t>Martsinovsky</w:t>
            </w:r>
            <w:proofErr w:type="spellEnd"/>
            <w:r w:rsidRPr="00373798">
              <w:rPr>
                <w:rFonts w:ascii="Aptos" w:hAnsi="Aptos"/>
                <w:snapToGrid w:val="0"/>
                <w:sz w:val="20"/>
                <w:szCs w:val="20"/>
                <w14:ligatures w14:val="standardContextual"/>
              </w:rPr>
              <w:t xml:space="preserve"> Institute of Medical Parasitology, Tropical and Vector Borne Diseases, </w:t>
            </w:r>
            <w:proofErr w:type="spellStart"/>
            <w:r w:rsidRPr="00373798">
              <w:rPr>
                <w:rFonts w:ascii="Aptos" w:hAnsi="Aptos"/>
                <w:snapToGrid w:val="0"/>
                <w:sz w:val="20"/>
                <w:szCs w:val="20"/>
                <w14:ligatures w14:val="standardContextual"/>
              </w:rPr>
              <w:t>Sechenov</w:t>
            </w:r>
            <w:proofErr w:type="spellEnd"/>
            <w:r w:rsidRPr="00373798">
              <w:rPr>
                <w:rFonts w:ascii="Aptos" w:hAnsi="Aptos"/>
                <w:snapToGrid w:val="0"/>
                <w:sz w:val="20"/>
                <w:szCs w:val="20"/>
                <w14:ligatures w14:val="standardContextual"/>
              </w:rPr>
              <w:t xml:space="preserve"> First Moscow State Medical University, Moscow, Russia</w:t>
            </w:r>
          </w:p>
        </w:tc>
        <w:tc>
          <w:tcPr>
            <w:tcW w:w="2126" w:type="dxa"/>
            <w:vAlign w:val="center"/>
          </w:tcPr>
          <w:p w14:paraId="584336C5" w14:textId="0A671D9C" w:rsidR="002D4340" w:rsidRPr="00373798" w:rsidRDefault="00373798" w:rsidP="00E863D4">
            <w:pPr>
              <w:rPr>
                <w:rFonts w:ascii="Aptos" w:hAnsi="Aptos" w:cs="Arial"/>
                <w:bCs/>
                <w:color w:val="000000" w:themeColor="text1"/>
                <w:sz w:val="20"/>
                <w:szCs w:val="20"/>
              </w:rPr>
            </w:pPr>
            <w:r w:rsidRPr="00373798">
              <w:rPr>
                <w:rFonts w:ascii="Aptos" w:hAnsi="Aptos" w:cs="Arial"/>
                <w:bCs/>
                <w:color w:val="000000" w:themeColor="text1"/>
                <w:sz w:val="20"/>
                <w:szCs w:val="20"/>
              </w:rPr>
              <w:t>vjulia94@gmail.com</w:t>
            </w:r>
          </w:p>
        </w:tc>
        <w:tc>
          <w:tcPr>
            <w:tcW w:w="1106" w:type="dxa"/>
            <w:vAlign w:val="center"/>
          </w:tcPr>
          <w:p w14:paraId="01837D6A" w14:textId="61C52A51" w:rsidR="002D4340" w:rsidRPr="00373798" w:rsidRDefault="002D4340" w:rsidP="00E863D4">
            <w:pPr>
              <w:jc w:val="center"/>
              <w:rPr>
                <w:rFonts w:ascii="Aptos" w:hAnsi="Aptos" w:cs="Arial"/>
                <w:bCs/>
                <w:color w:val="000000" w:themeColor="text1"/>
                <w:sz w:val="20"/>
                <w:szCs w:val="20"/>
              </w:rPr>
            </w:pPr>
          </w:p>
        </w:tc>
      </w:tr>
      <w:tr w:rsidR="002D4340" w:rsidRPr="00373798" w14:paraId="1B668FB3" w14:textId="2C6F00EF" w:rsidTr="00BD6C0B">
        <w:tc>
          <w:tcPr>
            <w:tcW w:w="1838" w:type="dxa"/>
            <w:vAlign w:val="center"/>
          </w:tcPr>
          <w:p w14:paraId="7C1B4F79" w14:textId="36008581" w:rsidR="002D4340" w:rsidRPr="00373798" w:rsidRDefault="00EC76C2" w:rsidP="00E863D4">
            <w:pPr>
              <w:rPr>
                <w:rFonts w:ascii="Aptos" w:hAnsi="Aptos" w:cs="Arial"/>
                <w:bCs/>
                <w:color w:val="000000" w:themeColor="text1"/>
                <w:sz w:val="20"/>
                <w:szCs w:val="20"/>
              </w:rPr>
            </w:pPr>
            <w:r w:rsidRPr="00373798">
              <w:rPr>
                <w:rFonts w:ascii="Aptos" w:hAnsi="Aptos" w:cs="Arial"/>
                <w:sz w:val="20"/>
                <w:szCs w:val="20"/>
              </w:rPr>
              <w:t xml:space="preserve">Alexander G. </w:t>
            </w:r>
          </w:p>
        </w:tc>
        <w:tc>
          <w:tcPr>
            <w:tcW w:w="1418" w:type="dxa"/>
            <w:vAlign w:val="center"/>
          </w:tcPr>
          <w:p w14:paraId="5E41446B" w14:textId="77C71059" w:rsidR="002D4340" w:rsidRPr="00373798" w:rsidRDefault="00EC76C2" w:rsidP="00E863D4">
            <w:pPr>
              <w:rPr>
                <w:rFonts w:ascii="Aptos" w:hAnsi="Aptos" w:cs="Arial"/>
                <w:bCs/>
                <w:color w:val="000000" w:themeColor="text1"/>
                <w:sz w:val="20"/>
                <w:szCs w:val="20"/>
              </w:rPr>
            </w:pPr>
            <w:proofErr w:type="spellStart"/>
            <w:r w:rsidRPr="00373798">
              <w:rPr>
                <w:rFonts w:ascii="Aptos" w:hAnsi="Aptos" w:cs="Arial"/>
                <w:bCs/>
                <w:color w:val="000000" w:themeColor="text1"/>
                <w:sz w:val="20"/>
                <w:szCs w:val="20"/>
              </w:rPr>
              <w:t>Litov</w:t>
            </w:r>
            <w:proofErr w:type="spellEnd"/>
          </w:p>
        </w:tc>
        <w:tc>
          <w:tcPr>
            <w:tcW w:w="2835" w:type="dxa"/>
            <w:vAlign w:val="center"/>
          </w:tcPr>
          <w:p w14:paraId="13190B06" w14:textId="77777777" w:rsidR="00EC76C2" w:rsidRPr="00373798" w:rsidRDefault="00EC76C2" w:rsidP="00EC76C2">
            <w:pPr>
              <w:rPr>
                <w:rFonts w:ascii="Aptos" w:hAnsi="Aptos" w:cs="Arial"/>
                <w:bCs/>
                <w:color w:val="000000" w:themeColor="text1"/>
                <w:sz w:val="20"/>
                <w:szCs w:val="20"/>
              </w:rPr>
            </w:pPr>
            <w:proofErr w:type="spellStart"/>
            <w:r w:rsidRPr="00373798">
              <w:rPr>
                <w:rFonts w:ascii="Aptos" w:hAnsi="Aptos" w:cs="Arial"/>
                <w:bCs/>
                <w:color w:val="000000" w:themeColor="text1"/>
                <w:sz w:val="20"/>
                <w:szCs w:val="20"/>
              </w:rPr>
              <w:t>Chumakov</w:t>
            </w:r>
            <w:proofErr w:type="spellEnd"/>
            <w:r w:rsidRPr="00373798">
              <w:rPr>
                <w:rFonts w:ascii="Aptos" w:hAnsi="Aptos" w:cs="Arial"/>
                <w:bCs/>
                <w:color w:val="000000" w:themeColor="text1"/>
                <w:sz w:val="20"/>
                <w:szCs w:val="20"/>
              </w:rPr>
              <w:t xml:space="preserve"> Institute of Poliomyelitis</w:t>
            </w:r>
          </w:p>
          <w:p w14:paraId="42C88E64" w14:textId="77777777" w:rsidR="00EC76C2" w:rsidRPr="00373798" w:rsidRDefault="00EC76C2" w:rsidP="00EC76C2">
            <w:pPr>
              <w:rPr>
                <w:rFonts w:ascii="Aptos" w:hAnsi="Aptos" w:cs="Arial"/>
                <w:bCs/>
                <w:color w:val="000000" w:themeColor="text1"/>
                <w:sz w:val="20"/>
                <w:szCs w:val="20"/>
              </w:rPr>
            </w:pPr>
            <w:r w:rsidRPr="00373798">
              <w:rPr>
                <w:rFonts w:ascii="Aptos" w:hAnsi="Aptos" w:cs="Arial"/>
                <w:bCs/>
                <w:color w:val="000000" w:themeColor="text1"/>
                <w:sz w:val="20"/>
                <w:szCs w:val="20"/>
              </w:rPr>
              <w:t>and Viral Encephalitis, Moscow,</w:t>
            </w:r>
          </w:p>
          <w:p w14:paraId="3EC4C5A6" w14:textId="230B686C" w:rsidR="002D4340" w:rsidRPr="00373798" w:rsidRDefault="00EC76C2" w:rsidP="00EC76C2">
            <w:pPr>
              <w:rPr>
                <w:rFonts w:ascii="Aptos" w:hAnsi="Aptos" w:cs="Arial"/>
                <w:bCs/>
                <w:color w:val="000000" w:themeColor="text1"/>
                <w:sz w:val="20"/>
                <w:szCs w:val="20"/>
              </w:rPr>
            </w:pPr>
            <w:r w:rsidRPr="00373798">
              <w:rPr>
                <w:rFonts w:ascii="Aptos" w:hAnsi="Aptos" w:cs="Arial"/>
                <w:bCs/>
                <w:color w:val="000000" w:themeColor="text1"/>
                <w:sz w:val="20"/>
                <w:szCs w:val="20"/>
              </w:rPr>
              <w:t>Russia</w:t>
            </w:r>
          </w:p>
        </w:tc>
        <w:tc>
          <w:tcPr>
            <w:tcW w:w="2126" w:type="dxa"/>
            <w:vAlign w:val="center"/>
          </w:tcPr>
          <w:p w14:paraId="1DDF5257" w14:textId="11A602EA" w:rsidR="002D4340" w:rsidRPr="00373798" w:rsidRDefault="00373798" w:rsidP="00E863D4">
            <w:pPr>
              <w:rPr>
                <w:rFonts w:ascii="Aptos" w:hAnsi="Aptos" w:cs="Arial"/>
                <w:bCs/>
                <w:color w:val="000000" w:themeColor="text1"/>
                <w:sz w:val="20"/>
                <w:szCs w:val="20"/>
              </w:rPr>
            </w:pPr>
            <w:r w:rsidRPr="00373798">
              <w:rPr>
                <w:rFonts w:ascii="Aptos" w:hAnsi="Aptos" w:cs="Arial"/>
                <w:bCs/>
                <w:color w:val="000000" w:themeColor="text1"/>
                <w:sz w:val="20"/>
                <w:szCs w:val="20"/>
              </w:rPr>
              <w:t>novosti-wxo@yandex.ru</w:t>
            </w:r>
          </w:p>
        </w:tc>
        <w:tc>
          <w:tcPr>
            <w:tcW w:w="1106" w:type="dxa"/>
            <w:vAlign w:val="center"/>
          </w:tcPr>
          <w:p w14:paraId="398397DC" w14:textId="63F54794" w:rsidR="002D4340" w:rsidRPr="00373798" w:rsidRDefault="002D4340" w:rsidP="00E863D4">
            <w:pPr>
              <w:jc w:val="center"/>
              <w:rPr>
                <w:rFonts w:ascii="Aptos" w:hAnsi="Aptos" w:cs="Arial"/>
                <w:bCs/>
                <w:color w:val="000000" w:themeColor="text1"/>
                <w:sz w:val="20"/>
                <w:szCs w:val="20"/>
              </w:rPr>
            </w:pPr>
          </w:p>
        </w:tc>
      </w:tr>
      <w:tr w:rsidR="002D4340" w:rsidRPr="00373798" w14:paraId="1EC2C947" w14:textId="08659965" w:rsidTr="00BD6C0B">
        <w:tc>
          <w:tcPr>
            <w:tcW w:w="1838" w:type="dxa"/>
            <w:vAlign w:val="center"/>
          </w:tcPr>
          <w:p w14:paraId="48A3936E" w14:textId="5B5E2679" w:rsidR="002D4340" w:rsidRPr="00373798" w:rsidRDefault="00EC76C2" w:rsidP="00E863D4">
            <w:pPr>
              <w:rPr>
                <w:rFonts w:ascii="Aptos" w:hAnsi="Aptos" w:cs="Arial"/>
                <w:bCs/>
                <w:color w:val="000000" w:themeColor="text1"/>
                <w:sz w:val="20"/>
                <w:szCs w:val="20"/>
              </w:rPr>
            </w:pPr>
            <w:r w:rsidRPr="00373798">
              <w:rPr>
                <w:rFonts w:ascii="Aptos" w:hAnsi="Aptos" w:cs="Arial"/>
                <w:bCs/>
                <w:color w:val="000000" w:themeColor="text1"/>
                <w:sz w:val="20"/>
                <w:szCs w:val="20"/>
              </w:rPr>
              <w:t>Galina G.</w:t>
            </w:r>
          </w:p>
        </w:tc>
        <w:tc>
          <w:tcPr>
            <w:tcW w:w="1418" w:type="dxa"/>
            <w:vAlign w:val="center"/>
          </w:tcPr>
          <w:p w14:paraId="2BEC470C" w14:textId="19FA3A2C" w:rsidR="002D4340" w:rsidRPr="00373798" w:rsidRDefault="00EC76C2" w:rsidP="00E863D4">
            <w:pPr>
              <w:rPr>
                <w:rFonts w:ascii="Aptos" w:hAnsi="Aptos" w:cs="Arial"/>
                <w:bCs/>
                <w:color w:val="000000" w:themeColor="text1"/>
                <w:sz w:val="20"/>
                <w:szCs w:val="20"/>
              </w:rPr>
            </w:pPr>
            <w:proofErr w:type="spellStart"/>
            <w:r w:rsidRPr="00373798">
              <w:rPr>
                <w:rFonts w:ascii="Aptos" w:hAnsi="Aptos" w:cs="Arial"/>
                <w:bCs/>
                <w:color w:val="000000" w:themeColor="text1"/>
                <w:sz w:val="20"/>
                <w:szCs w:val="20"/>
              </w:rPr>
              <w:t>Karganova</w:t>
            </w:r>
            <w:proofErr w:type="spellEnd"/>
          </w:p>
        </w:tc>
        <w:tc>
          <w:tcPr>
            <w:tcW w:w="2835" w:type="dxa"/>
            <w:vAlign w:val="center"/>
          </w:tcPr>
          <w:p w14:paraId="079F14F0" w14:textId="77777777" w:rsidR="00EC76C2" w:rsidRPr="00373798" w:rsidRDefault="00EC76C2" w:rsidP="00EC76C2">
            <w:pPr>
              <w:rPr>
                <w:rFonts w:ascii="Aptos" w:hAnsi="Aptos" w:cs="Arial"/>
                <w:bCs/>
                <w:color w:val="000000" w:themeColor="text1"/>
                <w:sz w:val="20"/>
                <w:szCs w:val="20"/>
              </w:rPr>
            </w:pPr>
            <w:proofErr w:type="spellStart"/>
            <w:r w:rsidRPr="00373798">
              <w:rPr>
                <w:rFonts w:ascii="Aptos" w:hAnsi="Aptos" w:cs="Arial"/>
                <w:bCs/>
                <w:color w:val="000000" w:themeColor="text1"/>
                <w:sz w:val="20"/>
                <w:szCs w:val="20"/>
              </w:rPr>
              <w:t>Chumakov</w:t>
            </w:r>
            <w:proofErr w:type="spellEnd"/>
            <w:r w:rsidRPr="00373798">
              <w:rPr>
                <w:rFonts w:ascii="Aptos" w:hAnsi="Aptos" w:cs="Arial"/>
                <w:bCs/>
                <w:color w:val="000000" w:themeColor="text1"/>
                <w:sz w:val="20"/>
                <w:szCs w:val="20"/>
              </w:rPr>
              <w:t xml:space="preserve"> Institute of Poliomyelitis</w:t>
            </w:r>
          </w:p>
          <w:p w14:paraId="7CF2E1C6" w14:textId="77777777" w:rsidR="00EC76C2" w:rsidRPr="00373798" w:rsidRDefault="00EC76C2" w:rsidP="00EC76C2">
            <w:pPr>
              <w:rPr>
                <w:rFonts w:ascii="Aptos" w:hAnsi="Aptos" w:cs="Arial"/>
                <w:bCs/>
                <w:color w:val="000000" w:themeColor="text1"/>
                <w:sz w:val="20"/>
                <w:szCs w:val="20"/>
              </w:rPr>
            </w:pPr>
            <w:r w:rsidRPr="00373798">
              <w:rPr>
                <w:rFonts w:ascii="Aptos" w:hAnsi="Aptos" w:cs="Arial"/>
                <w:bCs/>
                <w:color w:val="000000" w:themeColor="text1"/>
                <w:sz w:val="20"/>
                <w:szCs w:val="20"/>
              </w:rPr>
              <w:t>and Viral Encephalitis, Moscow,</w:t>
            </w:r>
          </w:p>
          <w:p w14:paraId="465BAECA" w14:textId="0CCC57AD" w:rsidR="002D4340" w:rsidRPr="00373798" w:rsidRDefault="00EC76C2" w:rsidP="00EC76C2">
            <w:pPr>
              <w:rPr>
                <w:rFonts w:ascii="Aptos" w:hAnsi="Aptos" w:cs="Arial"/>
                <w:bCs/>
                <w:color w:val="000000" w:themeColor="text1"/>
                <w:sz w:val="20"/>
                <w:szCs w:val="20"/>
              </w:rPr>
            </w:pPr>
            <w:r w:rsidRPr="00373798">
              <w:rPr>
                <w:rFonts w:ascii="Aptos" w:hAnsi="Aptos" w:cs="Arial"/>
                <w:bCs/>
                <w:color w:val="000000" w:themeColor="text1"/>
                <w:sz w:val="20"/>
                <w:szCs w:val="20"/>
              </w:rPr>
              <w:t>Russia</w:t>
            </w:r>
          </w:p>
        </w:tc>
        <w:tc>
          <w:tcPr>
            <w:tcW w:w="2126" w:type="dxa"/>
            <w:vAlign w:val="center"/>
          </w:tcPr>
          <w:p w14:paraId="464D4E54" w14:textId="18DE3496" w:rsidR="002D4340" w:rsidRPr="00373798" w:rsidRDefault="00373798" w:rsidP="00E863D4">
            <w:pPr>
              <w:rPr>
                <w:rFonts w:ascii="Aptos" w:hAnsi="Aptos" w:cs="Arial"/>
                <w:bCs/>
                <w:color w:val="000000" w:themeColor="text1"/>
                <w:sz w:val="20"/>
                <w:szCs w:val="20"/>
              </w:rPr>
            </w:pPr>
            <w:r w:rsidRPr="00373798">
              <w:rPr>
                <w:rFonts w:ascii="Aptos" w:hAnsi="Aptos" w:cs="Arial"/>
                <w:bCs/>
                <w:color w:val="000000" w:themeColor="text1"/>
                <w:sz w:val="20"/>
                <w:szCs w:val="20"/>
              </w:rPr>
              <w:t>karganova@bk.ru</w:t>
            </w:r>
          </w:p>
        </w:tc>
        <w:tc>
          <w:tcPr>
            <w:tcW w:w="1106" w:type="dxa"/>
            <w:vAlign w:val="center"/>
          </w:tcPr>
          <w:p w14:paraId="3CBA77FB" w14:textId="2B04C666" w:rsidR="002D4340" w:rsidRPr="00373798" w:rsidRDefault="002D4340" w:rsidP="00E863D4">
            <w:pPr>
              <w:jc w:val="center"/>
              <w:rPr>
                <w:rFonts w:ascii="Aptos" w:hAnsi="Aptos" w:cs="Arial"/>
                <w:bCs/>
                <w:color w:val="000000" w:themeColor="text1"/>
                <w:sz w:val="20"/>
                <w:szCs w:val="20"/>
              </w:rPr>
            </w:pPr>
          </w:p>
        </w:tc>
      </w:tr>
      <w:tr w:rsidR="002D4340" w:rsidRPr="00373798" w14:paraId="1E87AB62" w14:textId="5899AC2D" w:rsidTr="00BD6C0B">
        <w:tc>
          <w:tcPr>
            <w:tcW w:w="1838" w:type="dxa"/>
            <w:vAlign w:val="center"/>
          </w:tcPr>
          <w:p w14:paraId="31B07DB0" w14:textId="55A59582" w:rsidR="002D4340" w:rsidRPr="00373798" w:rsidRDefault="00EC76C2" w:rsidP="00E863D4">
            <w:pPr>
              <w:rPr>
                <w:rFonts w:ascii="Aptos" w:hAnsi="Aptos" w:cs="Arial"/>
                <w:bCs/>
                <w:color w:val="000000" w:themeColor="text1"/>
                <w:sz w:val="20"/>
                <w:szCs w:val="20"/>
              </w:rPr>
            </w:pPr>
            <w:r w:rsidRPr="00373798">
              <w:rPr>
                <w:rFonts w:ascii="Aptos" w:hAnsi="Aptos" w:cs="Arial"/>
                <w:bCs/>
                <w:color w:val="000000" w:themeColor="text1"/>
                <w:sz w:val="20"/>
                <w:szCs w:val="20"/>
              </w:rPr>
              <w:t>Alexander A.</w:t>
            </w:r>
          </w:p>
        </w:tc>
        <w:tc>
          <w:tcPr>
            <w:tcW w:w="1418" w:type="dxa"/>
            <w:vAlign w:val="center"/>
          </w:tcPr>
          <w:p w14:paraId="007E1446" w14:textId="65621548" w:rsidR="002D4340" w:rsidRPr="00373798" w:rsidRDefault="00EC76C2" w:rsidP="00E863D4">
            <w:pPr>
              <w:rPr>
                <w:rFonts w:ascii="Aptos" w:hAnsi="Aptos" w:cs="Arial"/>
                <w:bCs/>
                <w:color w:val="000000" w:themeColor="text1"/>
                <w:sz w:val="20"/>
                <w:szCs w:val="20"/>
              </w:rPr>
            </w:pPr>
            <w:r w:rsidRPr="00373798">
              <w:rPr>
                <w:rFonts w:ascii="Aptos" w:hAnsi="Aptos" w:cs="Arial"/>
                <w:bCs/>
                <w:color w:val="000000" w:themeColor="text1"/>
                <w:sz w:val="20"/>
                <w:szCs w:val="20"/>
              </w:rPr>
              <w:t>Lukashev</w:t>
            </w:r>
          </w:p>
        </w:tc>
        <w:tc>
          <w:tcPr>
            <w:tcW w:w="2835" w:type="dxa"/>
            <w:vAlign w:val="center"/>
          </w:tcPr>
          <w:p w14:paraId="5AD29B0F" w14:textId="0302C7FB" w:rsidR="002D4340" w:rsidRPr="00373798" w:rsidRDefault="00EC76C2" w:rsidP="00E863D4">
            <w:pPr>
              <w:rPr>
                <w:rFonts w:ascii="Aptos" w:hAnsi="Aptos" w:cs="Arial"/>
                <w:bCs/>
                <w:color w:val="000000" w:themeColor="text1"/>
                <w:sz w:val="20"/>
                <w:szCs w:val="20"/>
              </w:rPr>
            </w:pPr>
            <w:proofErr w:type="spellStart"/>
            <w:r w:rsidRPr="00373798">
              <w:rPr>
                <w:rFonts w:ascii="Aptos" w:hAnsi="Aptos"/>
                <w:snapToGrid w:val="0"/>
                <w:sz w:val="20"/>
                <w:szCs w:val="20"/>
                <w14:ligatures w14:val="standardContextual"/>
              </w:rPr>
              <w:t>Martsinovsky</w:t>
            </w:r>
            <w:proofErr w:type="spellEnd"/>
            <w:r w:rsidRPr="00373798">
              <w:rPr>
                <w:rFonts w:ascii="Aptos" w:hAnsi="Aptos"/>
                <w:snapToGrid w:val="0"/>
                <w:sz w:val="20"/>
                <w:szCs w:val="20"/>
                <w14:ligatures w14:val="standardContextual"/>
              </w:rPr>
              <w:t xml:space="preserve"> Institute of Medical Parasitology, Tropical and Vector Borne Diseases, </w:t>
            </w:r>
            <w:proofErr w:type="spellStart"/>
            <w:r w:rsidRPr="00373798">
              <w:rPr>
                <w:rFonts w:ascii="Aptos" w:hAnsi="Aptos"/>
                <w:snapToGrid w:val="0"/>
                <w:sz w:val="20"/>
                <w:szCs w:val="20"/>
                <w14:ligatures w14:val="standardContextual"/>
              </w:rPr>
              <w:t>Sechenov</w:t>
            </w:r>
            <w:proofErr w:type="spellEnd"/>
            <w:r w:rsidRPr="00373798">
              <w:rPr>
                <w:rFonts w:ascii="Aptos" w:hAnsi="Aptos"/>
                <w:snapToGrid w:val="0"/>
                <w:sz w:val="20"/>
                <w:szCs w:val="20"/>
                <w14:ligatures w14:val="standardContextual"/>
              </w:rPr>
              <w:t xml:space="preserve"> First Moscow State Medical University, Moscow, Russia</w:t>
            </w:r>
          </w:p>
        </w:tc>
        <w:tc>
          <w:tcPr>
            <w:tcW w:w="2126" w:type="dxa"/>
            <w:vAlign w:val="center"/>
          </w:tcPr>
          <w:p w14:paraId="5C936B49" w14:textId="0DE180DC" w:rsidR="002D4340" w:rsidRPr="00373798" w:rsidRDefault="00373798" w:rsidP="00E863D4">
            <w:pPr>
              <w:rPr>
                <w:rFonts w:ascii="Aptos" w:hAnsi="Aptos" w:cs="Arial"/>
                <w:bCs/>
                <w:color w:val="000000" w:themeColor="text1"/>
                <w:sz w:val="20"/>
                <w:szCs w:val="20"/>
              </w:rPr>
            </w:pPr>
            <w:r w:rsidRPr="00373798">
              <w:rPr>
                <w:rFonts w:ascii="Aptos" w:hAnsi="Aptos" w:cs="Arial"/>
                <w:bCs/>
                <w:color w:val="000000" w:themeColor="text1"/>
                <w:sz w:val="20"/>
                <w:szCs w:val="20"/>
              </w:rPr>
              <w:t>alexander_lukashev@hotmail.com</w:t>
            </w:r>
          </w:p>
        </w:tc>
        <w:tc>
          <w:tcPr>
            <w:tcW w:w="1106" w:type="dxa"/>
            <w:vAlign w:val="center"/>
          </w:tcPr>
          <w:p w14:paraId="1A6F2BF1" w14:textId="713BF4F1" w:rsidR="002D4340" w:rsidRPr="00373798" w:rsidRDefault="002D4340" w:rsidP="00E863D4">
            <w:pPr>
              <w:jc w:val="center"/>
              <w:rPr>
                <w:rFonts w:ascii="Aptos" w:hAnsi="Aptos" w:cs="Arial"/>
                <w:bCs/>
                <w:color w:val="000000" w:themeColor="text1"/>
                <w:sz w:val="20"/>
                <w:szCs w:val="20"/>
              </w:rPr>
            </w:pPr>
          </w:p>
        </w:tc>
      </w:tr>
    </w:tbl>
    <w:p w14:paraId="070FAC74" w14:textId="7A9A7276" w:rsidR="00A174CC" w:rsidRPr="00373798" w:rsidRDefault="00A174CC" w:rsidP="00DD58AA">
      <w:pPr>
        <w:rPr>
          <w:rFonts w:ascii="Aptos" w:hAnsi="Aptos" w:cs="Arial"/>
          <w:b/>
          <w:sz w:val="20"/>
          <w:szCs w:val="20"/>
        </w:rPr>
      </w:pPr>
    </w:p>
    <w:p w14:paraId="27ACB96D" w14:textId="77777777" w:rsidR="00D062BE" w:rsidRPr="00373798" w:rsidRDefault="00D062BE">
      <w:pPr>
        <w:rPr>
          <w:rFonts w:ascii="Aptos" w:eastAsia="Times" w:hAnsi="Aptos" w:cs="Arial"/>
          <w:b/>
          <w:color w:val="000000"/>
          <w:sz w:val="20"/>
          <w:szCs w:val="20"/>
          <w:lang w:eastAsia="en-GB"/>
        </w:rPr>
      </w:pPr>
      <w:r w:rsidRPr="00373798">
        <w:rPr>
          <w:rFonts w:ascii="Aptos" w:eastAsia="Times" w:hAnsi="Aptos" w:cs="Arial"/>
          <w:b/>
          <w:color w:val="000000"/>
          <w:sz w:val="20"/>
          <w:szCs w:val="20"/>
          <w:lang w:eastAsia="en-GB"/>
        </w:rPr>
        <w:br w:type="page"/>
      </w:r>
    </w:p>
    <w:p w14:paraId="1382B4BD" w14:textId="070D3A5B" w:rsidR="000A7027" w:rsidRPr="00373798" w:rsidRDefault="0067795B" w:rsidP="000A7027">
      <w:pPr>
        <w:spacing w:before="120" w:after="120"/>
        <w:rPr>
          <w:rFonts w:ascii="Aptos" w:hAnsi="Aptos" w:cs="Arial"/>
          <w:b/>
          <w:sz w:val="20"/>
          <w:szCs w:val="20"/>
        </w:rPr>
      </w:pPr>
      <w:r w:rsidRPr="00373798">
        <w:rPr>
          <w:rFonts w:ascii="Aptos" w:hAnsi="Aptos" w:cs="Arial"/>
          <w:b/>
          <w:sz w:val="20"/>
          <w:szCs w:val="20"/>
        </w:rPr>
        <w:lastRenderedPageBreak/>
        <w:t xml:space="preserve">Part 1b: </w:t>
      </w:r>
      <w:r w:rsidR="000A7027" w:rsidRPr="00373798">
        <w:rPr>
          <w:rFonts w:ascii="Aptos" w:hAnsi="Aptos" w:cs="Arial"/>
          <w:b/>
          <w:sz w:val="20"/>
          <w:szCs w:val="20"/>
        </w:rPr>
        <w:t>Taxonomy Proposal Submission</w:t>
      </w:r>
      <w:r w:rsidRPr="00373798">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rsidRPr="00373798" w14:paraId="02C75B6A" w14:textId="77777777" w:rsidTr="00683D0C">
        <w:tc>
          <w:tcPr>
            <w:tcW w:w="8505" w:type="dxa"/>
            <w:gridSpan w:val="4"/>
            <w:shd w:val="clear" w:color="auto" w:fill="F2F2F2" w:themeFill="background1" w:themeFillShade="F2"/>
          </w:tcPr>
          <w:p w14:paraId="0F928364" w14:textId="7CA22294" w:rsidR="00683D0C" w:rsidRPr="00373798" w:rsidRDefault="00683D0C" w:rsidP="000A7027">
            <w:pPr>
              <w:rPr>
                <w:rFonts w:ascii="Aptos" w:eastAsia="Times" w:hAnsi="Aptos" w:cs="Arial"/>
                <w:b/>
                <w:color w:val="000000"/>
                <w:sz w:val="20"/>
                <w:szCs w:val="20"/>
                <w:lang w:eastAsia="en-GB"/>
              </w:rPr>
            </w:pPr>
            <w:r w:rsidRPr="00373798">
              <w:rPr>
                <w:rFonts w:ascii="Aptos" w:eastAsia="Times" w:hAnsi="Aptos" w:cs="Arial"/>
                <w:b/>
                <w:color w:val="000000"/>
                <w:sz w:val="20"/>
                <w:szCs w:val="20"/>
                <w:lang w:eastAsia="en-GB"/>
              </w:rPr>
              <w:t>ICTV Subcommittee</w:t>
            </w:r>
            <w:r w:rsidR="006C0F51" w:rsidRPr="00373798">
              <w:rPr>
                <w:rFonts w:ascii="Aptos" w:eastAsia="Times" w:hAnsi="Aptos" w:cs="Arial"/>
                <w:b/>
                <w:color w:val="000000"/>
                <w:sz w:val="20"/>
                <w:szCs w:val="20"/>
                <w:lang w:eastAsia="en-GB"/>
              </w:rPr>
              <w:t>:</w:t>
            </w:r>
            <w:r w:rsidRPr="00373798">
              <w:rPr>
                <w:rFonts w:ascii="Aptos" w:eastAsia="Times" w:hAnsi="Aptos" w:cs="Arial"/>
                <w:b/>
                <w:color w:val="000000"/>
                <w:sz w:val="20"/>
                <w:szCs w:val="20"/>
                <w:lang w:eastAsia="en-GB"/>
              </w:rPr>
              <w:t xml:space="preserve"> </w:t>
            </w:r>
          </w:p>
        </w:tc>
      </w:tr>
      <w:tr w:rsidR="009741D1" w:rsidRPr="00373798" w14:paraId="3A2C652A" w14:textId="77777777" w:rsidTr="00974C28">
        <w:tc>
          <w:tcPr>
            <w:tcW w:w="3969" w:type="dxa"/>
          </w:tcPr>
          <w:p w14:paraId="350A9AF2" w14:textId="119F463E" w:rsidR="00D062BE" w:rsidRPr="00373798" w:rsidRDefault="00296DA3" w:rsidP="000A7027">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Animal DNA Viruses and Retroviruses</w:t>
            </w:r>
          </w:p>
        </w:tc>
        <w:tc>
          <w:tcPr>
            <w:tcW w:w="284" w:type="dxa"/>
          </w:tcPr>
          <w:p w14:paraId="72E6FA8C" w14:textId="77777777" w:rsidR="00D062BE" w:rsidRPr="00373798"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373798" w:rsidRDefault="00296DA3" w:rsidP="000A7027">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Bacterial viruses</w:t>
            </w:r>
          </w:p>
        </w:tc>
        <w:tc>
          <w:tcPr>
            <w:tcW w:w="327" w:type="dxa"/>
          </w:tcPr>
          <w:p w14:paraId="457BD1CC" w14:textId="77777777" w:rsidR="00D062BE" w:rsidRPr="00373798" w:rsidRDefault="00D062BE" w:rsidP="000A7027">
            <w:pPr>
              <w:rPr>
                <w:rFonts w:ascii="Aptos" w:eastAsia="Times" w:hAnsi="Aptos" w:cs="Arial"/>
                <w:b/>
                <w:color w:val="000000"/>
                <w:sz w:val="20"/>
                <w:szCs w:val="20"/>
                <w:lang w:eastAsia="en-GB"/>
              </w:rPr>
            </w:pPr>
          </w:p>
        </w:tc>
      </w:tr>
      <w:tr w:rsidR="009741D1" w:rsidRPr="00373798" w14:paraId="0B035BDF" w14:textId="77777777" w:rsidTr="00974C28">
        <w:tc>
          <w:tcPr>
            <w:tcW w:w="3969" w:type="dxa"/>
          </w:tcPr>
          <w:p w14:paraId="5431BEDE" w14:textId="405E5CFC" w:rsidR="00D062BE" w:rsidRPr="00373798" w:rsidRDefault="00296DA3"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 xml:space="preserve">Animal </w:t>
            </w:r>
            <w:r w:rsidR="00382FE8" w:rsidRPr="00373798">
              <w:rPr>
                <w:rFonts w:ascii="Aptos" w:eastAsia="Times" w:hAnsi="Aptos" w:cs="Arial"/>
                <w:color w:val="000000"/>
                <w:sz w:val="20"/>
                <w:szCs w:val="20"/>
                <w:lang w:eastAsia="en-GB"/>
              </w:rPr>
              <w:t xml:space="preserve">minus-strand </w:t>
            </w:r>
            <w:r w:rsidRPr="00373798">
              <w:rPr>
                <w:rFonts w:ascii="Aptos" w:eastAsia="Times" w:hAnsi="Aptos" w:cs="Arial"/>
                <w:color w:val="000000"/>
                <w:sz w:val="20"/>
                <w:szCs w:val="20"/>
                <w:lang w:eastAsia="en-GB"/>
              </w:rPr>
              <w:t>and dsRNA viruses</w:t>
            </w:r>
          </w:p>
        </w:tc>
        <w:tc>
          <w:tcPr>
            <w:tcW w:w="284" w:type="dxa"/>
          </w:tcPr>
          <w:p w14:paraId="137436D9" w14:textId="77777777" w:rsidR="00D062BE" w:rsidRPr="00373798"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373798" w:rsidRDefault="00296DA3"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Fungal and protist viruses</w:t>
            </w:r>
          </w:p>
        </w:tc>
        <w:tc>
          <w:tcPr>
            <w:tcW w:w="327" w:type="dxa"/>
          </w:tcPr>
          <w:p w14:paraId="0E9BD33C" w14:textId="77777777" w:rsidR="00D062BE" w:rsidRPr="00373798" w:rsidRDefault="00D062BE" w:rsidP="00DD58AA">
            <w:pPr>
              <w:rPr>
                <w:rFonts w:ascii="Aptos" w:eastAsia="Times" w:hAnsi="Aptos" w:cs="Arial"/>
                <w:b/>
                <w:color w:val="000000"/>
                <w:sz w:val="20"/>
                <w:szCs w:val="20"/>
                <w:lang w:eastAsia="en-GB"/>
              </w:rPr>
            </w:pPr>
          </w:p>
        </w:tc>
      </w:tr>
      <w:tr w:rsidR="009741D1" w:rsidRPr="00373798" w14:paraId="5D08A151" w14:textId="77777777" w:rsidTr="00974C28">
        <w:tc>
          <w:tcPr>
            <w:tcW w:w="3969" w:type="dxa"/>
          </w:tcPr>
          <w:p w14:paraId="1AE840E5" w14:textId="20C0CA73" w:rsidR="00D062BE" w:rsidRPr="00373798" w:rsidRDefault="00296DA3"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 xml:space="preserve">Animal </w:t>
            </w:r>
            <w:r w:rsidR="00382FE8" w:rsidRPr="00373798">
              <w:rPr>
                <w:rFonts w:ascii="Aptos" w:eastAsia="Times" w:hAnsi="Aptos" w:cs="Arial"/>
                <w:color w:val="000000"/>
                <w:sz w:val="20"/>
                <w:szCs w:val="20"/>
                <w:lang w:eastAsia="en-GB"/>
              </w:rPr>
              <w:t xml:space="preserve">positive-strand </w:t>
            </w:r>
            <w:r w:rsidRPr="00373798">
              <w:rPr>
                <w:rFonts w:ascii="Aptos" w:eastAsia="Times" w:hAnsi="Aptos" w:cs="Arial"/>
                <w:color w:val="000000"/>
                <w:sz w:val="20"/>
                <w:szCs w:val="20"/>
                <w:lang w:eastAsia="en-GB"/>
              </w:rPr>
              <w:t>RNA viruses</w:t>
            </w:r>
          </w:p>
        </w:tc>
        <w:tc>
          <w:tcPr>
            <w:tcW w:w="284" w:type="dxa"/>
          </w:tcPr>
          <w:p w14:paraId="5B0E6496" w14:textId="1C9B45A4" w:rsidR="00D062BE" w:rsidRPr="00373798" w:rsidRDefault="00700316" w:rsidP="00DD58AA">
            <w:pPr>
              <w:rPr>
                <w:rFonts w:ascii="Aptos" w:eastAsia="Times" w:hAnsi="Aptos" w:cs="Arial"/>
                <w:b/>
                <w:color w:val="000000"/>
                <w:sz w:val="20"/>
                <w:szCs w:val="20"/>
                <w:lang w:eastAsia="en-GB"/>
              </w:rPr>
            </w:pPr>
            <w:r w:rsidRPr="00373798">
              <w:rPr>
                <w:rFonts w:ascii="Aptos" w:eastAsia="Times" w:hAnsi="Aptos" w:cs="Arial"/>
                <w:b/>
                <w:color w:val="000000"/>
                <w:sz w:val="20"/>
                <w:szCs w:val="20"/>
                <w:lang w:eastAsia="en-GB"/>
              </w:rPr>
              <w:t>X</w:t>
            </w:r>
          </w:p>
        </w:tc>
        <w:tc>
          <w:tcPr>
            <w:tcW w:w="3925" w:type="dxa"/>
          </w:tcPr>
          <w:p w14:paraId="5235AEB3" w14:textId="6E12B24E" w:rsidR="00D062BE" w:rsidRPr="00373798" w:rsidRDefault="00296DA3"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Plant viruses</w:t>
            </w:r>
          </w:p>
        </w:tc>
        <w:tc>
          <w:tcPr>
            <w:tcW w:w="327" w:type="dxa"/>
          </w:tcPr>
          <w:p w14:paraId="707BEB8E" w14:textId="77777777" w:rsidR="00D062BE" w:rsidRPr="00373798" w:rsidRDefault="00D062BE" w:rsidP="00DD58AA">
            <w:pPr>
              <w:rPr>
                <w:rFonts w:ascii="Aptos" w:eastAsia="Times" w:hAnsi="Aptos" w:cs="Arial"/>
                <w:b/>
                <w:color w:val="000000"/>
                <w:sz w:val="20"/>
                <w:szCs w:val="20"/>
                <w:lang w:eastAsia="en-GB"/>
              </w:rPr>
            </w:pPr>
          </w:p>
        </w:tc>
      </w:tr>
      <w:tr w:rsidR="009741D1" w:rsidRPr="00373798" w14:paraId="683F5094" w14:textId="77777777" w:rsidTr="00974C28">
        <w:tc>
          <w:tcPr>
            <w:tcW w:w="3969" w:type="dxa"/>
          </w:tcPr>
          <w:p w14:paraId="2F218EA6" w14:textId="0F84C410" w:rsidR="00D062BE" w:rsidRPr="00373798" w:rsidRDefault="00296DA3"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Archaeal viruses</w:t>
            </w:r>
          </w:p>
        </w:tc>
        <w:tc>
          <w:tcPr>
            <w:tcW w:w="284" w:type="dxa"/>
          </w:tcPr>
          <w:p w14:paraId="356A3133" w14:textId="77777777" w:rsidR="00D062BE" w:rsidRPr="00373798" w:rsidRDefault="00D062BE" w:rsidP="00DD58AA">
            <w:pPr>
              <w:rPr>
                <w:rFonts w:ascii="Aptos" w:eastAsia="Times" w:hAnsi="Aptos" w:cs="Arial"/>
                <w:b/>
                <w:color w:val="000000"/>
                <w:sz w:val="20"/>
                <w:szCs w:val="20"/>
                <w:lang w:eastAsia="en-GB"/>
              </w:rPr>
            </w:pPr>
          </w:p>
        </w:tc>
        <w:tc>
          <w:tcPr>
            <w:tcW w:w="3925" w:type="dxa"/>
          </w:tcPr>
          <w:p w14:paraId="45EE4286" w14:textId="4338A65D" w:rsidR="00D062BE" w:rsidRPr="00373798" w:rsidRDefault="00296DA3"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 xml:space="preserve">General </w:t>
            </w:r>
            <w:r w:rsidR="00382FE8" w:rsidRPr="00373798">
              <w:rPr>
                <w:rFonts w:ascii="Aptos" w:eastAsia="Times" w:hAnsi="Aptos" w:cs="Arial"/>
                <w:color w:val="000000"/>
                <w:sz w:val="20"/>
                <w:szCs w:val="20"/>
                <w:lang w:eastAsia="en-GB"/>
              </w:rPr>
              <w:t>-</w:t>
            </w:r>
          </w:p>
        </w:tc>
        <w:tc>
          <w:tcPr>
            <w:tcW w:w="327" w:type="dxa"/>
          </w:tcPr>
          <w:p w14:paraId="607AF614" w14:textId="77777777" w:rsidR="00D062BE" w:rsidRPr="00373798" w:rsidRDefault="00D062BE" w:rsidP="00DD58AA">
            <w:pPr>
              <w:rPr>
                <w:rFonts w:ascii="Aptos" w:eastAsia="Times" w:hAnsi="Aptos" w:cs="Arial"/>
                <w:b/>
                <w:color w:val="000000"/>
                <w:sz w:val="20"/>
                <w:szCs w:val="20"/>
                <w:lang w:eastAsia="en-GB"/>
              </w:rPr>
            </w:pPr>
          </w:p>
        </w:tc>
      </w:tr>
    </w:tbl>
    <w:p w14:paraId="719A3232" w14:textId="77777777" w:rsidR="00D062BE" w:rsidRPr="00373798"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373798" w14:paraId="1BAEEDB4" w14:textId="77777777" w:rsidTr="00683D0C">
        <w:trPr>
          <w:trHeight w:val="147"/>
        </w:trPr>
        <w:tc>
          <w:tcPr>
            <w:tcW w:w="8505" w:type="dxa"/>
            <w:shd w:val="clear" w:color="auto" w:fill="F2F2F2" w:themeFill="background1" w:themeFillShade="F2"/>
          </w:tcPr>
          <w:p w14:paraId="68D3AD5E" w14:textId="76C848EA" w:rsidR="00CF59EA" w:rsidRPr="00373798" w:rsidRDefault="00CF59EA" w:rsidP="00DD58AA">
            <w:pPr>
              <w:rPr>
                <w:rFonts w:ascii="Aptos" w:hAnsi="Aptos" w:cs="Arial"/>
                <w:sz w:val="20"/>
                <w:szCs w:val="20"/>
              </w:rPr>
            </w:pPr>
            <w:r w:rsidRPr="00373798">
              <w:rPr>
                <w:rFonts w:ascii="Aptos" w:hAnsi="Aptos" w:cs="Arial"/>
                <w:b/>
                <w:sz w:val="20"/>
                <w:szCs w:val="20"/>
              </w:rPr>
              <w:t xml:space="preserve">List </w:t>
            </w:r>
            <w:r w:rsidR="007E667B" w:rsidRPr="00373798">
              <w:rPr>
                <w:rFonts w:ascii="Aptos" w:hAnsi="Aptos" w:cs="Arial"/>
                <w:b/>
                <w:sz w:val="20"/>
                <w:szCs w:val="20"/>
              </w:rPr>
              <w:t xml:space="preserve">the </w:t>
            </w:r>
            <w:r w:rsidRPr="00373798">
              <w:rPr>
                <w:rFonts w:ascii="Aptos" w:hAnsi="Aptos" w:cs="Arial"/>
                <w:b/>
                <w:sz w:val="20"/>
                <w:szCs w:val="20"/>
              </w:rPr>
              <w:t>ICTV Study Group(s) that have seen or have</w:t>
            </w:r>
            <w:r w:rsidR="008F51E2" w:rsidRPr="00373798">
              <w:rPr>
                <w:rFonts w:ascii="Aptos" w:hAnsi="Aptos" w:cs="Arial"/>
                <w:b/>
                <w:sz w:val="20"/>
                <w:szCs w:val="20"/>
              </w:rPr>
              <w:t xml:space="preserve"> been</w:t>
            </w:r>
            <w:r w:rsidRPr="00373798">
              <w:rPr>
                <w:rFonts w:ascii="Aptos" w:hAnsi="Aptos" w:cs="Arial"/>
                <w:b/>
                <w:sz w:val="20"/>
                <w:szCs w:val="20"/>
              </w:rPr>
              <w:t xml:space="preserve"> involved in creating this proposal</w:t>
            </w:r>
            <w:r w:rsidR="006C0F51" w:rsidRPr="00373798">
              <w:rPr>
                <w:rFonts w:ascii="Aptos" w:hAnsi="Aptos" w:cs="Arial"/>
                <w:b/>
                <w:sz w:val="20"/>
                <w:szCs w:val="20"/>
              </w:rPr>
              <w:t>:</w:t>
            </w:r>
          </w:p>
        </w:tc>
      </w:tr>
      <w:tr w:rsidR="0072682D" w:rsidRPr="00373798" w14:paraId="0BE0A499" w14:textId="77777777" w:rsidTr="00FC2269">
        <w:trPr>
          <w:trHeight w:val="527"/>
        </w:trPr>
        <w:tc>
          <w:tcPr>
            <w:tcW w:w="8505" w:type="dxa"/>
          </w:tcPr>
          <w:p w14:paraId="7F4EC4CB" w14:textId="7C2C2BE0" w:rsidR="0072682D" w:rsidRPr="00373798" w:rsidRDefault="00700316" w:rsidP="0020013A">
            <w:pPr>
              <w:rPr>
                <w:rFonts w:ascii="Aptos" w:hAnsi="Aptos" w:cs="Arial"/>
                <w:sz w:val="20"/>
                <w:szCs w:val="20"/>
              </w:rPr>
            </w:pPr>
            <w:proofErr w:type="spellStart"/>
            <w:r w:rsidRPr="00373798">
              <w:rPr>
                <w:rFonts w:ascii="Aptos" w:hAnsi="Aptos" w:cs="Arial"/>
                <w:sz w:val="20"/>
                <w:szCs w:val="20"/>
              </w:rPr>
              <w:t>Astroviridae</w:t>
            </w:r>
            <w:proofErr w:type="spellEnd"/>
            <w:r w:rsidRPr="00373798">
              <w:rPr>
                <w:rFonts w:ascii="Aptos" w:hAnsi="Aptos" w:cs="Arial"/>
                <w:sz w:val="20"/>
                <w:szCs w:val="20"/>
              </w:rPr>
              <w:t xml:space="preserve"> Study Group (</w:t>
            </w:r>
            <w:proofErr w:type="spellStart"/>
            <w:r w:rsidRPr="00373798">
              <w:rPr>
                <w:rFonts w:ascii="Aptos" w:hAnsi="Aptos" w:cs="Arial"/>
                <w:sz w:val="20"/>
                <w:szCs w:val="20"/>
              </w:rPr>
              <w:t>Aleshina</w:t>
            </w:r>
            <w:proofErr w:type="spellEnd"/>
            <w:r w:rsidRPr="00373798">
              <w:rPr>
                <w:rFonts w:ascii="Aptos" w:hAnsi="Aptos" w:cs="Arial"/>
                <w:sz w:val="20"/>
                <w:szCs w:val="20"/>
              </w:rPr>
              <w:t xml:space="preserve"> </w:t>
            </w:r>
            <w:proofErr w:type="spellStart"/>
            <w:r w:rsidRPr="00373798">
              <w:rPr>
                <w:rFonts w:ascii="Aptos" w:hAnsi="Aptos" w:cs="Arial"/>
                <w:sz w:val="20"/>
                <w:szCs w:val="20"/>
              </w:rPr>
              <w:t>Yulia</w:t>
            </w:r>
            <w:proofErr w:type="spellEnd"/>
            <w:r w:rsidRPr="00373798">
              <w:rPr>
                <w:rFonts w:ascii="Aptos" w:hAnsi="Aptos" w:cs="Arial"/>
                <w:sz w:val="20"/>
                <w:szCs w:val="20"/>
              </w:rPr>
              <w:t>, Lukashev Alexander);</w:t>
            </w:r>
          </w:p>
        </w:tc>
      </w:tr>
    </w:tbl>
    <w:p w14:paraId="116BCF49" w14:textId="77777777" w:rsidR="003A18C5" w:rsidRPr="00373798"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373798" w14:paraId="529229AA" w14:textId="77777777" w:rsidTr="008F51E2">
        <w:trPr>
          <w:trHeight w:val="244"/>
        </w:trPr>
        <w:tc>
          <w:tcPr>
            <w:tcW w:w="2268" w:type="dxa"/>
            <w:shd w:val="clear" w:color="auto" w:fill="F2F2F2" w:themeFill="background1" w:themeFillShade="F2"/>
          </w:tcPr>
          <w:p w14:paraId="753A3328" w14:textId="5DACA3B3" w:rsidR="003A18C5" w:rsidRPr="00373798" w:rsidRDefault="003A18C5" w:rsidP="00783ED6">
            <w:pPr>
              <w:ind w:left="174"/>
              <w:rPr>
                <w:rFonts w:ascii="Aptos" w:hAnsi="Aptos" w:cs="Arial"/>
                <w:bCs/>
                <w:sz w:val="20"/>
                <w:szCs w:val="20"/>
              </w:rPr>
            </w:pPr>
            <w:r w:rsidRPr="00373798">
              <w:rPr>
                <w:rFonts w:ascii="Aptos" w:hAnsi="Aptos" w:cs="Arial"/>
                <w:b/>
                <w:bCs/>
                <w:sz w:val="20"/>
                <w:szCs w:val="20"/>
              </w:rPr>
              <w:t>Submission date</w:t>
            </w:r>
            <w:r w:rsidR="006C0F51" w:rsidRPr="00373798">
              <w:rPr>
                <w:rFonts w:ascii="Aptos" w:hAnsi="Aptos" w:cs="Arial"/>
                <w:b/>
                <w:bCs/>
                <w:sz w:val="20"/>
                <w:szCs w:val="20"/>
              </w:rPr>
              <w:t>:</w:t>
            </w:r>
          </w:p>
        </w:tc>
        <w:tc>
          <w:tcPr>
            <w:tcW w:w="1701" w:type="dxa"/>
          </w:tcPr>
          <w:p w14:paraId="54C988CE" w14:textId="628E191A" w:rsidR="003A18C5" w:rsidRPr="00373798" w:rsidRDefault="003A18C5" w:rsidP="00783ED6">
            <w:pPr>
              <w:rPr>
                <w:rFonts w:ascii="Aptos" w:hAnsi="Aptos" w:cs="Arial"/>
                <w:bCs/>
                <w:color w:val="000000" w:themeColor="text1"/>
                <w:sz w:val="20"/>
                <w:szCs w:val="20"/>
              </w:rPr>
            </w:pPr>
            <w:r w:rsidRPr="00373798">
              <w:rPr>
                <w:rFonts w:ascii="Aptos" w:hAnsi="Aptos" w:cs="Arial"/>
                <w:bCs/>
                <w:sz w:val="20"/>
                <w:szCs w:val="20"/>
              </w:rPr>
              <w:t xml:space="preserve">  </w:t>
            </w:r>
          </w:p>
        </w:tc>
      </w:tr>
    </w:tbl>
    <w:p w14:paraId="46934237" w14:textId="77777777" w:rsidR="003A18C5" w:rsidRPr="00373798" w:rsidRDefault="003A18C5" w:rsidP="003A18C5">
      <w:pPr>
        <w:rPr>
          <w:rFonts w:ascii="Aptos" w:hAnsi="Aptos" w:cs="Arial"/>
          <w:b/>
          <w:sz w:val="20"/>
          <w:szCs w:val="20"/>
        </w:rPr>
      </w:pPr>
    </w:p>
    <w:p w14:paraId="71426659" w14:textId="77777777" w:rsidR="003A18C5" w:rsidRPr="00373798" w:rsidRDefault="003A18C5" w:rsidP="00DD58AA">
      <w:pPr>
        <w:ind w:right="828"/>
        <w:rPr>
          <w:rFonts w:ascii="Aptos" w:hAnsi="Aptos" w:cs="Arial"/>
          <w:b/>
          <w:sz w:val="20"/>
          <w:szCs w:val="20"/>
        </w:rPr>
      </w:pPr>
    </w:p>
    <w:p w14:paraId="6142524C" w14:textId="11452AB4" w:rsidR="0072682D" w:rsidRPr="00373798" w:rsidRDefault="0067795B" w:rsidP="003A18C5">
      <w:pPr>
        <w:spacing w:after="120"/>
        <w:ind w:right="828"/>
        <w:rPr>
          <w:rFonts w:ascii="Aptos" w:hAnsi="Aptos" w:cs="Arial"/>
          <w:color w:val="0070C0"/>
          <w:sz w:val="20"/>
          <w:szCs w:val="20"/>
        </w:rPr>
      </w:pPr>
      <w:r w:rsidRPr="00373798">
        <w:rPr>
          <w:rFonts w:ascii="Aptos" w:hAnsi="Aptos" w:cs="Arial"/>
          <w:b/>
          <w:sz w:val="20"/>
          <w:szCs w:val="20"/>
        </w:rPr>
        <w:t xml:space="preserve">Part 1c: </w:t>
      </w:r>
      <w:r w:rsidR="000A7027" w:rsidRPr="00373798">
        <w:rPr>
          <w:rFonts w:ascii="Aptos" w:hAnsi="Aptos" w:cs="Arial"/>
          <w:b/>
          <w:sz w:val="20"/>
          <w:szCs w:val="20"/>
        </w:rPr>
        <w:t xml:space="preserve">Feedback from </w:t>
      </w:r>
      <w:r w:rsidR="00382FE8" w:rsidRPr="00373798">
        <w:rPr>
          <w:rFonts w:ascii="Aptos" w:hAnsi="Aptos" w:cs="Arial"/>
          <w:b/>
          <w:sz w:val="20"/>
          <w:szCs w:val="20"/>
        </w:rPr>
        <w:t xml:space="preserve">ICTV </w:t>
      </w:r>
      <w:r w:rsidR="000A7027" w:rsidRPr="00373798">
        <w:rPr>
          <w:rFonts w:ascii="Aptos" w:hAnsi="Aptos" w:cs="Arial"/>
          <w:b/>
          <w:sz w:val="20"/>
          <w:szCs w:val="20"/>
        </w:rPr>
        <w:t xml:space="preserve">Executive Committee </w:t>
      </w:r>
      <w:r w:rsidR="0058465A" w:rsidRPr="00373798">
        <w:rPr>
          <w:rFonts w:ascii="Aptos" w:hAnsi="Aptos" w:cs="Arial"/>
          <w:b/>
          <w:sz w:val="20"/>
          <w:szCs w:val="20"/>
        </w:rPr>
        <w:t xml:space="preserve">(EC) </w:t>
      </w:r>
      <w:r w:rsidR="000A7027" w:rsidRPr="00373798">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373798" w14:paraId="584B88AC" w14:textId="77777777" w:rsidTr="00683D0C">
        <w:tc>
          <w:tcPr>
            <w:tcW w:w="8080" w:type="dxa"/>
            <w:shd w:val="clear" w:color="auto" w:fill="F2F2F2" w:themeFill="background1" w:themeFillShade="F2"/>
          </w:tcPr>
          <w:p w14:paraId="7394893D" w14:textId="4310FBEC" w:rsidR="000A7027" w:rsidRPr="00373798" w:rsidRDefault="00CF59EA" w:rsidP="00DD58AA">
            <w:pPr>
              <w:rPr>
                <w:rFonts w:ascii="Aptos" w:eastAsia="Times" w:hAnsi="Aptos" w:cs="Arial"/>
                <w:b/>
                <w:color w:val="000000"/>
                <w:sz w:val="20"/>
                <w:szCs w:val="20"/>
                <w:lang w:eastAsia="en-GB"/>
              </w:rPr>
            </w:pPr>
            <w:r w:rsidRPr="00373798">
              <w:rPr>
                <w:rFonts w:ascii="Aptos" w:hAnsi="Aptos" w:cs="Arial"/>
                <w:b/>
                <w:sz w:val="20"/>
                <w:szCs w:val="20"/>
              </w:rPr>
              <w:t xml:space="preserve">Executive Committee Meeting Decision </w:t>
            </w:r>
            <w:r w:rsidR="0067795B" w:rsidRPr="00373798">
              <w:rPr>
                <w:rFonts w:ascii="Aptos" w:eastAsia="Times" w:hAnsi="Aptos" w:cs="Arial"/>
                <w:b/>
                <w:color w:val="000000"/>
                <w:sz w:val="20"/>
                <w:szCs w:val="20"/>
                <w:lang w:eastAsia="en-GB"/>
              </w:rPr>
              <w:t>code</w:t>
            </w:r>
            <w:r w:rsidR="006C0F51" w:rsidRPr="00373798">
              <w:rPr>
                <w:rFonts w:ascii="Aptos" w:eastAsia="Times" w:hAnsi="Aptos" w:cs="Arial"/>
                <w:b/>
                <w:color w:val="000000"/>
                <w:sz w:val="20"/>
                <w:szCs w:val="20"/>
                <w:lang w:eastAsia="en-GB"/>
              </w:rPr>
              <w:t>:</w:t>
            </w:r>
          </w:p>
        </w:tc>
        <w:tc>
          <w:tcPr>
            <w:tcW w:w="425" w:type="dxa"/>
          </w:tcPr>
          <w:p w14:paraId="2461D595" w14:textId="77777777" w:rsidR="000A7027" w:rsidRPr="00373798" w:rsidRDefault="000A7027" w:rsidP="00DD58AA">
            <w:pPr>
              <w:rPr>
                <w:rFonts w:ascii="Aptos" w:eastAsia="Times" w:hAnsi="Aptos" w:cs="Arial"/>
                <w:b/>
                <w:color w:val="A6A6A6" w:themeColor="background1" w:themeShade="A6"/>
                <w:sz w:val="20"/>
                <w:szCs w:val="20"/>
                <w:lang w:eastAsia="en-GB"/>
              </w:rPr>
            </w:pPr>
            <w:r w:rsidRPr="00373798">
              <w:rPr>
                <w:rFonts w:ascii="Aptos" w:eastAsia="Times" w:hAnsi="Aptos" w:cs="Arial"/>
                <w:b/>
                <w:color w:val="A6A6A6" w:themeColor="background1" w:themeShade="A6"/>
                <w:sz w:val="20"/>
                <w:szCs w:val="20"/>
                <w:lang w:eastAsia="en-GB"/>
              </w:rPr>
              <w:t>X</w:t>
            </w:r>
          </w:p>
        </w:tc>
      </w:tr>
      <w:tr w:rsidR="000A7027" w:rsidRPr="00373798" w14:paraId="78B67569" w14:textId="77777777" w:rsidTr="00BE4F5A">
        <w:tc>
          <w:tcPr>
            <w:tcW w:w="8080" w:type="dxa"/>
          </w:tcPr>
          <w:p w14:paraId="64C71CA1" w14:textId="554F4337" w:rsidR="000A7027" w:rsidRPr="00373798" w:rsidRDefault="000A7027"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 xml:space="preserve">A </w:t>
            </w:r>
            <w:r w:rsidR="0058465A" w:rsidRPr="00373798">
              <w:rPr>
                <w:rFonts w:ascii="Aptos" w:eastAsia="Times" w:hAnsi="Aptos" w:cs="Arial"/>
                <w:color w:val="000000"/>
                <w:sz w:val="20"/>
                <w:szCs w:val="20"/>
                <w:lang w:eastAsia="en-GB"/>
              </w:rPr>
              <w:t>–</w:t>
            </w:r>
            <w:r w:rsidRPr="00373798">
              <w:rPr>
                <w:rFonts w:ascii="Aptos" w:eastAsia="Times" w:hAnsi="Aptos" w:cs="Arial"/>
                <w:color w:val="000000"/>
                <w:sz w:val="20"/>
                <w:szCs w:val="20"/>
                <w:lang w:eastAsia="en-GB"/>
              </w:rPr>
              <w:t xml:space="preserve"> Accept</w:t>
            </w:r>
          </w:p>
        </w:tc>
        <w:tc>
          <w:tcPr>
            <w:tcW w:w="425" w:type="dxa"/>
          </w:tcPr>
          <w:p w14:paraId="45A226C7" w14:textId="77777777" w:rsidR="000A7027" w:rsidRPr="00373798" w:rsidRDefault="000A7027" w:rsidP="00DD58AA">
            <w:pPr>
              <w:rPr>
                <w:rFonts w:ascii="Aptos" w:eastAsia="Times" w:hAnsi="Aptos" w:cs="Arial"/>
                <w:b/>
                <w:color w:val="000000"/>
                <w:sz w:val="20"/>
                <w:szCs w:val="20"/>
                <w:lang w:eastAsia="en-GB"/>
              </w:rPr>
            </w:pPr>
          </w:p>
        </w:tc>
      </w:tr>
      <w:tr w:rsidR="000A7027" w:rsidRPr="00373798" w14:paraId="3369515D" w14:textId="77777777" w:rsidTr="00BE4F5A">
        <w:tc>
          <w:tcPr>
            <w:tcW w:w="8080" w:type="dxa"/>
          </w:tcPr>
          <w:p w14:paraId="0AC3242D" w14:textId="789F6726" w:rsidR="000A7027" w:rsidRPr="00373798" w:rsidRDefault="000A7027"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Ac – Accept subject to revision</w:t>
            </w:r>
            <w:r w:rsidR="0058465A" w:rsidRPr="00373798">
              <w:rPr>
                <w:rFonts w:ascii="Aptos" w:eastAsia="Times" w:hAnsi="Aptos" w:cs="Arial"/>
                <w:color w:val="000000"/>
                <w:sz w:val="20"/>
                <w:szCs w:val="20"/>
                <w:lang w:eastAsia="en-GB"/>
              </w:rPr>
              <w:t xml:space="preserve"> by relevant subcommittee chair</w:t>
            </w:r>
            <w:r w:rsidRPr="00373798">
              <w:rPr>
                <w:rFonts w:ascii="Aptos" w:eastAsia="Times" w:hAnsi="Aptos" w:cs="Arial"/>
                <w:color w:val="000000"/>
                <w:sz w:val="20"/>
                <w:szCs w:val="20"/>
                <w:lang w:eastAsia="en-GB"/>
              </w:rPr>
              <w:t>. No further vote required</w:t>
            </w:r>
          </w:p>
        </w:tc>
        <w:tc>
          <w:tcPr>
            <w:tcW w:w="425" w:type="dxa"/>
          </w:tcPr>
          <w:p w14:paraId="7B4F7C87" w14:textId="77777777" w:rsidR="000A7027" w:rsidRPr="00373798" w:rsidRDefault="000A7027" w:rsidP="00DD58AA">
            <w:pPr>
              <w:rPr>
                <w:rFonts w:ascii="Aptos" w:eastAsia="Times" w:hAnsi="Aptos" w:cs="Arial"/>
                <w:b/>
                <w:color w:val="000000"/>
                <w:sz w:val="20"/>
                <w:szCs w:val="20"/>
                <w:lang w:eastAsia="en-GB"/>
              </w:rPr>
            </w:pPr>
          </w:p>
        </w:tc>
      </w:tr>
      <w:tr w:rsidR="000A7027" w:rsidRPr="00373798" w14:paraId="5D9CF6FC" w14:textId="77777777" w:rsidTr="00BE4F5A">
        <w:tc>
          <w:tcPr>
            <w:tcW w:w="8080" w:type="dxa"/>
          </w:tcPr>
          <w:p w14:paraId="6A631C3F" w14:textId="5891AD4C" w:rsidR="000A7027" w:rsidRPr="00373798" w:rsidRDefault="0058465A"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U</w:t>
            </w:r>
            <w:r w:rsidR="000A7027" w:rsidRPr="00373798">
              <w:rPr>
                <w:rFonts w:ascii="Aptos" w:eastAsia="Times" w:hAnsi="Aptos" w:cs="Arial"/>
                <w:color w:val="000000"/>
                <w:sz w:val="20"/>
                <w:szCs w:val="20"/>
                <w:lang w:eastAsia="en-GB"/>
              </w:rPr>
              <w:t xml:space="preserve"> – Accept </w:t>
            </w:r>
            <w:r w:rsidRPr="00373798">
              <w:rPr>
                <w:rFonts w:ascii="Aptos" w:eastAsia="Times" w:hAnsi="Aptos" w:cs="Arial"/>
                <w:color w:val="000000"/>
                <w:sz w:val="20"/>
                <w:szCs w:val="20"/>
                <w:lang w:eastAsia="en-GB"/>
              </w:rPr>
              <w:t>without</w:t>
            </w:r>
            <w:r w:rsidR="000A7027" w:rsidRPr="00373798">
              <w:rPr>
                <w:rFonts w:ascii="Aptos" w:eastAsia="Times" w:hAnsi="Aptos" w:cs="Arial"/>
                <w:color w:val="000000"/>
                <w:sz w:val="20"/>
                <w:szCs w:val="20"/>
                <w:lang w:eastAsia="en-GB"/>
              </w:rPr>
              <w:t xml:space="preserve"> revision</w:t>
            </w:r>
            <w:r w:rsidRPr="00373798">
              <w:rPr>
                <w:rFonts w:ascii="Aptos" w:eastAsia="Times" w:hAnsi="Aptos" w:cs="Arial"/>
                <w:color w:val="000000"/>
                <w:sz w:val="20"/>
                <w:szCs w:val="20"/>
                <w:lang w:eastAsia="en-GB"/>
              </w:rPr>
              <w:t xml:space="preserve"> but with r</w:t>
            </w:r>
            <w:r w:rsidR="000A7027" w:rsidRPr="00373798">
              <w:rPr>
                <w:rFonts w:ascii="Aptos" w:eastAsia="Times" w:hAnsi="Aptos" w:cs="Arial"/>
                <w:color w:val="000000"/>
                <w:sz w:val="20"/>
                <w:szCs w:val="20"/>
                <w:lang w:eastAsia="en-GB"/>
              </w:rPr>
              <w:t xml:space="preserve">e-evaluation </w:t>
            </w:r>
            <w:r w:rsidRPr="00373798">
              <w:rPr>
                <w:rFonts w:ascii="Aptos" w:eastAsia="Times" w:hAnsi="Aptos" w:cs="Arial"/>
                <w:color w:val="000000"/>
                <w:sz w:val="20"/>
                <w:szCs w:val="20"/>
                <w:lang w:eastAsia="en-GB"/>
              </w:rPr>
              <w:t xml:space="preserve">and email vote </w:t>
            </w:r>
            <w:r w:rsidR="000A7027" w:rsidRPr="00373798">
              <w:rPr>
                <w:rFonts w:ascii="Aptos" w:eastAsia="Times" w:hAnsi="Aptos" w:cs="Arial"/>
                <w:color w:val="000000"/>
                <w:sz w:val="20"/>
                <w:szCs w:val="20"/>
                <w:lang w:eastAsia="en-GB"/>
              </w:rPr>
              <w:t>by the EC</w:t>
            </w:r>
          </w:p>
        </w:tc>
        <w:tc>
          <w:tcPr>
            <w:tcW w:w="425" w:type="dxa"/>
          </w:tcPr>
          <w:p w14:paraId="773F9751" w14:textId="178723F6" w:rsidR="000A7027" w:rsidRPr="00373798" w:rsidRDefault="000A7027" w:rsidP="00DD58AA">
            <w:pPr>
              <w:rPr>
                <w:rFonts w:ascii="Aptos" w:eastAsia="Times" w:hAnsi="Aptos" w:cs="Arial"/>
                <w:b/>
                <w:color w:val="000000"/>
                <w:sz w:val="20"/>
                <w:szCs w:val="20"/>
                <w:lang w:eastAsia="en-GB"/>
              </w:rPr>
            </w:pPr>
          </w:p>
        </w:tc>
      </w:tr>
      <w:tr w:rsidR="000A7027" w:rsidRPr="00373798" w14:paraId="59BD71F4" w14:textId="77777777" w:rsidTr="00BE4F5A">
        <w:tc>
          <w:tcPr>
            <w:tcW w:w="8080" w:type="dxa"/>
          </w:tcPr>
          <w:p w14:paraId="69BC056D" w14:textId="0D3D89AC" w:rsidR="000A7027" w:rsidRPr="00373798" w:rsidRDefault="000A7027" w:rsidP="00DD58AA">
            <w:pPr>
              <w:rPr>
                <w:rFonts w:ascii="Aptos" w:eastAsia="Times" w:hAnsi="Aptos" w:cs="Arial"/>
                <w:color w:val="000000"/>
                <w:sz w:val="20"/>
                <w:szCs w:val="20"/>
                <w:lang w:eastAsia="en-GB"/>
              </w:rPr>
            </w:pPr>
            <w:proofErr w:type="spellStart"/>
            <w:r w:rsidRPr="00373798">
              <w:rPr>
                <w:rFonts w:ascii="Aptos" w:eastAsia="Times" w:hAnsi="Aptos" w:cs="Arial"/>
                <w:color w:val="000000"/>
                <w:sz w:val="20"/>
                <w:szCs w:val="20"/>
                <w:lang w:eastAsia="en-GB"/>
              </w:rPr>
              <w:t>U</w:t>
            </w:r>
            <w:r w:rsidR="0058465A" w:rsidRPr="00373798">
              <w:rPr>
                <w:rFonts w:ascii="Aptos" w:eastAsia="Times" w:hAnsi="Aptos" w:cs="Arial"/>
                <w:color w:val="000000"/>
                <w:sz w:val="20"/>
                <w:szCs w:val="20"/>
                <w:lang w:eastAsia="en-GB"/>
              </w:rPr>
              <w:t>c</w:t>
            </w:r>
            <w:proofErr w:type="spellEnd"/>
            <w:r w:rsidRPr="00373798">
              <w:rPr>
                <w:rFonts w:ascii="Aptos" w:eastAsia="Times" w:hAnsi="Aptos" w:cs="Arial"/>
                <w:color w:val="000000"/>
                <w:sz w:val="20"/>
                <w:szCs w:val="20"/>
                <w:lang w:eastAsia="en-GB"/>
              </w:rPr>
              <w:t xml:space="preserve"> – </w:t>
            </w:r>
            <w:r w:rsidR="0058465A" w:rsidRPr="00373798">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Pr="00373798" w:rsidRDefault="000A7027" w:rsidP="00DD58AA">
            <w:pPr>
              <w:rPr>
                <w:rFonts w:ascii="Aptos" w:eastAsia="Times" w:hAnsi="Aptos" w:cs="Arial"/>
                <w:b/>
                <w:color w:val="000000"/>
                <w:sz w:val="20"/>
                <w:szCs w:val="20"/>
                <w:lang w:eastAsia="en-GB"/>
              </w:rPr>
            </w:pPr>
          </w:p>
        </w:tc>
      </w:tr>
      <w:tr w:rsidR="000A7027" w:rsidRPr="00373798" w14:paraId="2117D303" w14:textId="77777777" w:rsidTr="00BE4F5A">
        <w:tc>
          <w:tcPr>
            <w:tcW w:w="8080" w:type="dxa"/>
          </w:tcPr>
          <w:p w14:paraId="53C977C7" w14:textId="5CD27364" w:rsidR="000A7027" w:rsidRPr="00373798" w:rsidRDefault="0058465A" w:rsidP="00DD58AA">
            <w:pPr>
              <w:rPr>
                <w:rFonts w:ascii="Aptos" w:eastAsia="Times" w:hAnsi="Aptos" w:cs="Arial"/>
                <w:color w:val="000000"/>
                <w:sz w:val="20"/>
                <w:szCs w:val="20"/>
                <w:lang w:eastAsia="en-GB"/>
              </w:rPr>
            </w:pPr>
            <w:proofErr w:type="spellStart"/>
            <w:r w:rsidRPr="00373798">
              <w:rPr>
                <w:rFonts w:ascii="Aptos" w:eastAsia="Times" w:hAnsi="Aptos" w:cs="Arial"/>
                <w:color w:val="000000"/>
                <w:sz w:val="20"/>
                <w:szCs w:val="20"/>
                <w:lang w:eastAsia="en-GB"/>
              </w:rPr>
              <w:t>Ud</w:t>
            </w:r>
            <w:proofErr w:type="spellEnd"/>
            <w:r w:rsidRPr="00373798">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Pr="00373798" w:rsidRDefault="000A7027" w:rsidP="00DD58AA">
            <w:pPr>
              <w:rPr>
                <w:rFonts w:ascii="Aptos" w:eastAsia="Times" w:hAnsi="Aptos" w:cs="Arial"/>
                <w:b/>
                <w:color w:val="000000"/>
                <w:sz w:val="20"/>
                <w:szCs w:val="20"/>
                <w:lang w:eastAsia="en-GB"/>
              </w:rPr>
            </w:pPr>
          </w:p>
        </w:tc>
      </w:tr>
      <w:tr w:rsidR="00903048" w:rsidRPr="00373798" w14:paraId="26CEB8AD" w14:textId="77777777" w:rsidTr="00BE4F5A">
        <w:tc>
          <w:tcPr>
            <w:tcW w:w="8080" w:type="dxa"/>
          </w:tcPr>
          <w:p w14:paraId="7764C134" w14:textId="09155EE7" w:rsidR="00903048" w:rsidRPr="00373798" w:rsidRDefault="00903048"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J - Reject</w:t>
            </w:r>
          </w:p>
        </w:tc>
        <w:tc>
          <w:tcPr>
            <w:tcW w:w="425" w:type="dxa"/>
          </w:tcPr>
          <w:p w14:paraId="6F54E47E" w14:textId="77777777" w:rsidR="00903048" w:rsidRPr="00373798" w:rsidRDefault="00903048" w:rsidP="00DD58AA">
            <w:pPr>
              <w:rPr>
                <w:rFonts w:ascii="Aptos" w:eastAsia="Times" w:hAnsi="Aptos" w:cs="Arial"/>
                <w:b/>
                <w:color w:val="000000"/>
                <w:sz w:val="20"/>
                <w:szCs w:val="20"/>
                <w:lang w:eastAsia="en-GB"/>
              </w:rPr>
            </w:pPr>
          </w:p>
        </w:tc>
      </w:tr>
      <w:tr w:rsidR="00903048" w:rsidRPr="00373798" w14:paraId="3071CAAD" w14:textId="77777777" w:rsidTr="00BE4F5A">
        <w:tc>
          <w:tcPr>
            <w:tcW w:w="8080" w:type="dxa"/>
          </w:tcPr>
          <w:p w14:paraId="638F84E9" w14:textId="55B1FB64" w:rsidR="00903048" w:rsidRPr="00373798" w:rsidRDefault="00903048"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W - Withdrawn</w:t>
            </w:r>
          </w:p>
        </w:tc>
        <w:tc>
          <w:tcPr>
            <w:tcW w:w="425" w:type="dxa"/>
          </w:tcPr>
          <w:p w14:paraId="13EAC41A" w14:textId="77777777" w:rsidR="00903048" w:rsidRPr="00373798" w:rsidRDefault="00903048" w:rsidP="00DD58AA">
            <w:pPr>
              <w:rPr>
                <w:rFonts w:ascii="Aptos" w:eastAsia="Times" w:hAnsi="Aptos" w:cs="Arial"/>
                <w:b/>
                <w:color w:val="000000"/>
                <w:sz w:val="20"/>
                <w:szCs w:val="20"/>
                <w:lang w:eastAsia="en-GB"/>
              </w:rPr>
            </w:pPr>
          </w:p>
        </w:tc>
      </w:tr>
    </w:tbl>
    <w:p w14:paraId="1219F415" w14:textId="2C9E8083" w:rsidR="000A7027" w:rsidRPr="00373798"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373798" w14:paraId="049461B0" w14:textId="77777777" w:rsidTr="00683D0C">
        <w:trPr>
          <w:trHeight w:val="211"/>
        </w:trPr>
        <w:tc>
          <w:tcPr>
            <w:tcW w:w="8505" w:type="dxa"/>
            <w:shd w:val="clear" w:color="auto" w:fill="F2F2F2" w:themeFill="background1" w:themeFillShade="F2"/>
          </w:tcPr>
          <w:p w14:paraId="49D4D24B" w14:textId="7D9D5ACE" w:rsidR="00CF59EA" w:rsidRPr="00373798" w:rsidRDefault="00CF59EA" w:rsidP="00DD58AA">
            <w:pPr>
              <w:rPr>
                <w:rFonts w:ascii="Aptos" w:hAnsi="Aptos" w:cs="Arial"/>
                <w:sz w:val="20"/>
                <w:szCs w:val="20"/>
              </w:rPr>
            </w:pPr>
            <w:r w:rsidRPr="00373798">
              <w:rPr>
                <w:rFonts w:ascii="Aptos" w:hAnsi="Aptos" w:cs="Arial"/>
                <w:b/>
                <w:sz w:val="20"/>
                <w:szCs w:val="20"/>
              </w:rPr>
              <w:t>Comments from the Executive Committee</w:t>
            </w:r>
            <w:r w:rsidR="006C0F51" w:rsidRPr="00373798">
              <w:rPr>
                <w:rFonts w:ascii="Aptos" w:hAnsi="Aptos" w:cs="Arial"/>
                <w:b/>
                <w:sz w:val="20"/>
                <w:szCs w:val="20"/>
              </w:rPr>
              <w:t>:</w:t>
            </w:r>
          </w:p>
        </w:tc>
      </w:tr>
      <w:tr w:rsidR="000A7027" w:rsidRPr="00373798" w14:paraId="7B05B82E" w14:textId="77777777" w:rsidTr="00BE4F5A">
        <w:trPr>
          <w:trHeight w:val="794"/>
        </w:trPr>
        <w:tc>
          <w:tcPr>
            <w:tcW w:w="8505" w:type="dxa"/>
          </w:tcPr>
          <w:p w14:paraId="352B8AE1" w14:textId="77777777" w:rsidR="000A7027" w:rsidRPr="00373798" w:rsidRDefault="000A7027" w:rsidP="00DD58AA">
            <w:pPr>
              <w:rPr>
                <w:rFonts w:ascii="Aptos" w:hAnsi="Aptos" w:cs="Arial"/>
                <w:sz w:val="20"/>
                <w:szCs w:val="20"/>
              </w:rPr>
            </w:pPr>
          </w:p>
          <w:p w14:paraId="1958B433" w14:textId="77777777" w:rsidR="000A7027" w:rsidRPr="00373798" w:rsidRDefault="000A7027" w:rsidP="00DD58AA">
            <w:pPr>
              <w:rPr>
                <w:rFonts w:ascii="Aptos" w:hAnsi="Aptos" w:cs="Arial"/>
                <w:sz w:val="20"/>
                <w:szCs w:val="20"/>
              </w:rPr>
            </w:pPr>
          </w:p>
        </w:tc>
      </w:tr>
    </w:tbl>
    <w:p w14:paraId="51E643B3" w14:textId="7B2EB0AB" w:rsidR="009741D1" w:rsidRPr="00373798" w:rsidRDefault="009741D1" w:rsidP="00DD58AA">
      <w:pPr>
        <w:rPr>
          <w:rFonts w:ascii="Aptos" w:hAnsi="Aptos" w:cs="Arial"/>
          <w:b/>
          <w:sz w:val="20"/>
          <w:szCs w:val="20"/>
        </w:rPr>
      </w:pPr>
    </w:p>
    <w:p w14:paraId="493C87B5" w14:textId="77777777" w:rsidR="00DD58AA" w:rsidRPr="00373798" w:rsidRDefault="00DD58AA" w:rsidP="00DD58AA">
      <w:pPr>
        <w:rPr>
          <w:rFonts w:ascii="Aptos" w:hAnsi="Aptos" w:cs="Arial"/>
          <w:b/>
          <w:sz w:val="20"/>
          <w:szCs w:val="20"/>
        </w:rPr>
      </w:pPr>
    </w:p>
    <w:p w14:paraId="1F76B955" w14:textId="1B775E89" w:rsidR="00C95FB7" w:rsidRPr="00373798" w:rsidRDefault="0067795B" w:rsidP="003A18C5">
      <w:pPr>
        <w:spacing w:after="120"/>
        <w:rPr>
          <w:rFonts w:ascii="Aptos" w:hAnsi="Aptos" w:cs="Arial"/>
          <w:b/>
          <w:sz w:val="20"/>
          <w:szCs w:val="20"/>
        </w:rPr>
      </w:pPr>
      <w:r w:rsidRPr="00373798">
        <w:rPr>
          <w:rFonts w:ascii="Aptos" w:hAnsi="Aptos" w:cs="Arial"/>
          <w:b/>
          <w:sz w:val="20"/>
          <w:szCs w:val="20"/>
        </w:rPr>
        <w:t xml:space="preserve">Part 1d: </w:t>
      </w:r>
      <w:r w:rsidR="00C95FB7" w:rsidRPr="00373798">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373798" w14:paraId="37F4B0FE" w14:textId="77777777" w:rsidTr="00683D0C">
        <w:tc>
          <w:tcPr>
            <w:tcW w:w="8505" w:type="dxa"/>
            <w:shd w:val="clear" w:color="auto" w:fill="F2F2F2" w:themeFill="background1" w:themeFillShade="F2"/>
          </w:tcPr>
          <w:p w14:paraId="0B8993B8" w14:textId="39820E9E" w:rsidR="00CF59EA" w:rsidRPr="00373798" w:rsidRDefault="00CF59EA" w:rsidP="00DD58AA">
            <w:pPr>
              <w:rPr>
                <w:rFonts w:ascii="Aptos" w:hAnsi="Aptos" w:cs="Arial"/>
                <w:sz w:val="20"/>
                <w:szCs w:val="20"/>
              </w:rPr>
            </w:pPr>
            <w:r w:rsidRPr="00373798">
              <w:rPr>
                <w:rFonts w:ascii="Aptos" w:hAnsi="Aptos" w:cs="Arial"/>
                <w:b/>
                <w:sz w:val="20"/>
                <w:szCs w:val="20"/>
              </w:rPr>
              <w:t>Response of proposer</w:t>
            </w:r>
            <w:r w:rsidR="006C0F51" w:rsidRPr="00373798">
              <w:rPr>
                <w:rFonts w:ascii="Aptos" w:hAnsi="Aptos" w:cs="Arial"/>
                <w:b/>
                <w:sz w:val="20"/>
                <w:szCs w:val="20"/>
              </w:rPr>
              <w:t>:</w:t>
            </w:r>
            <w:r w:rsidRPr="00373798">
              <w:rPr>
                <w:rFonts w:ascii="Aptos" w:hAnsi="Aptos" w:cs="Arial"/>
                <w:b/>
                <w:sz w:val="20"/>
                <w:szCs w:val="20"/>
              </w:rPr>
              <w:t xml:space="preserve"> </w:t>
            </w:r>
          </w:p>
        </w:tc>
      </w:tr>
      <w:tr w:rsidR="00296DA3" w:rsidRPr="00373798" w14:paraId="2A62C96B" w14:textId="77777777" w:rsidTr="00BE4F5A">
        <w:tc>
          <w:tcPr>
            <w:tcW w:w="8505" w:type="dxa"/>
          </w:tcPr>
          <w:p w14:paraId="4483A209" w14:textId="77777777" w:rsidR="00296DA3" w:rsidRPr="00373798" w:rsidRDefault="00296DA3" w:rsidP="00DD58AA">
            <w:pPr>
              <w:rPr>
                <w:rFonts w:ascii="Aptos" w:hAnsi="Aptos" w:cs="Arial"/>
                <w:sz w:val="20"/>
                <w:szCs w:val="20"/>
              </w:rPr>
            </w:pPr>
          </w:p>
          <w:p w14:paraId="54C5CACA" w14:textId="367B5D6C" w:rsidR="00296DA3" w:rsidRPr="00373798" w:rsidRDefault="00296DA3" w:rsidP="00DD58AA">
            <w:pPr>
              <w:rPr>
                <w:rFonts w:ascii="Aptos" w:hAnsi="Aptos" w:cs="Arial"/>
                <w:sz w:val="20"/>
                <w:szCs w:val="20"/>
              </w:rPr>
            </w:pPr>
          </w:p>
          <w:p w14:paraId="761B7407" w14:textId="77777777" w:rsidR="00F110F7" w:rsidRPr="00373798" w:rsidRDefault="00F110F7" w:rsidP="00DD58AA">
            <w:pPr>
              <w:rPr>
                <w:rFonts w:ascii="Aptos" w:hAnsi="Aptos" w:cs="Arial"/>
                <w:sz w:val="20"/>
                <w:szCs w:val="20"/>
              </w:rPr>
            </w:pPr>
          </w:p>
          <w:p w14:paraId="430177EE" w14:textId="77777777" w:rsidR="00296DA3" w:rsidRPr="00373798"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373798" w14:paraId="5AF16E14" w14:textId="77777777" w:rsidTr="001D0007">
        <w:trPr>
          <w:trHeight w:val="244"/>
        </w:trPr>
        <w:tc>
          <w:tcPr>
            <w:tcW w:w="1980" w:type="dxa"/>
            <w:shd w:val="clear" w:color="auto" w:fill="F2F2F2" w:themeFill="background1" w:themeFillShade="F2"/>
          </w:tcPr>
          <w:p w14:paraId="006DDA83" w14:textId="70A2AC88" w:rsidR="00BE4F5A" w:rsidRPr="00373798" w:rsidRDefault="00BE4F5A" w:rsidP="00DD58AA">
            <w:pPr>
              <w:ind w:left="174"/>
              <w:rPr>
                <w:rFonts w:ascii="Aptos" w:hAnsi="Aptos" w:cs="Arial"/>
                <w:bCs/>
                <w:sz w:val="20"/>
                <w:szCs w:val="20"/>
              </w:rPr>
            </w:pPr>
            <w:r w:rsidRPr="00373798">
              <w:rPr>
                <w:rFonts w:ascii="Aptos" w:hAnsi="Aptos" w:cs="Arial"/>
                <w:b/>
                <w:bCs/>
                <w:sz w:val="20"/>
                <w:szCs w:val="20"/>
              </w:rPr>
              <w:t>Revision date</w:t>
            </w:r>
            <w:r w:rsidR="006C0F51" w:rsidRPr="00373798">
              <w:rPr>
                <w:rFonts w:ascii="Aptos" w:hAnsi="Aptos" w:cs="Arial"/>
                <w:b/>
                <w:bCs/>
                <w:sz w:val="20"/>
                <w:szCs w:val="20"/>
              </w:rPr>
              <w:t>:</w:t>
            </w:r>
          </w:p>
        </w:tc>
        <w:tc>
          <w:tcPr>
            <w:tcW w:w="1843" w:type="dxa"/>
          </w:tcPr>
          <w:p w14:paraId="11649694" w14:textId="42B6A122" w:rsidR="00BE4F5A" w:rsidRPr="00373798" w:rsidRDefault="00BE4F5A" w:rsidP="00DD58AA">
            <w:pPr>
              <w:rPr>
                <w:rFonts w:ascii="Aptos" w:hAnsi="Aptos" w:cs="Arial"/>
                <w:bCs/>
                <w:sz w:val="20"/>
                <w:szCs w:val="20"/>
              </w:rPr>
            </w:pPr>
          </w:p>
        </w:tc>
      </w:tr>
    </w:tbl>
    <w:p w14:paraId="5F5E1C06" w14:textId="77777777" w:rsidR="00953FFE" w:rsidRPr="00373798" w:rsidRDefault="00953FFE" w:rsidP="00DD58AA">
      <w:pPr>
        <w:ind w:firstLine="720"/>
        <w:rPr>
          <w:rFonts w:ascii="Aptos" w:hAnsi="Aptos" w:cs="Arial"/>
          <w:b/>
          <w:bCs/>
          <w:sz w:val="20"/>
          <w:szCs w:val="20"/>
        </w:rPr>
      </w:pPr>
    </w:p>
    <w:p w14:paraId="7C2D104C" w14:textId="73844178" w:rsidR="00CF59EA" w:rsidRPr="00373798" w:rsidRDefault="00CF59EA" w:rsidP="00DD58AA">
      <w:pPr>
        <w:rPr>
          <w:rFonts w:ascii="Aptos" w:hAnsi="Aptos" w:cs="Arial"/>
          <w:color w:val="C00000"/>
          <w:sz w:val="20"/>
          <w:szCs w:val="20"/>
        </w:rPr>
      </w:pPr>
    </w:p>
    <w:p w14:paraId="68D95475" w14:textId="77777777" w:rsidR="00953FFE" w:rsidRPr="00373798" w:rsidRDefault="00953FFE" w:rsidP="00DD58AA">
      <w:pPr>
        <w:ind w:firstLine="720"/>
        <w:rPr>
          <w:rFonts w:ascii="Aptos" w:hAnsi="Aptos" w:cs="Arial"/>
          <w:b/>
          <w:sz w:val="20"/>
          <w:szCs w:val="20"/>
        </w:rPr>
      </w:pPr>
    </w:p>
    <w:p w14:paraId="42759BC8" w14:textId="77777777" w:rsidR="00953FFE" w:rsidRPr="00373798" w:rsidRDefault="00953FFE">
      <w:pPr>
        <w:rPr>
          <w:rFonts w:ascii="Aptos" w:hAnsi="Aptos" w:cs="Arial"/>
          <w:b/>
          <w:color w:val="000000"/>
          <w:sz w:val="20"/>
          <w:szCs w:val="20"/>
        </w:rPr>
      </w:pPr>
      <w:r w:rsidRPr="00373798">
        <w:rPr>
          <w:rFonts w:ascii="Aptos" w:hAnsi="Aptos" w:cs="Arial"/>
          <w:b/>
          <w:color w:val="000000"/>
          <w:sz w:val="20"/>
          <w:szCs w:val="20"/>
        </w:rPr>
        <w:br w:type="page"/>
      </w:r>
      <w:permStart w:id="702228509" w:edGrp="everyone"/>
      <w:permEnd w:id="702228509"/>
    </w:p>
    <w:p w14:paraId="48DB7F5D" w14:textId="77777777" w:rsidR="00953FFE" w:rsidRPr="00373798" w:rsidRDefault="00953FFE" w:rsidP="00DD58AA">
      <w:pPr>
        <w:pStyle w:val="BodyTextIndent"/>
        <w:ind w:left="0" w:firstLine="0"/>
        <w:rPr>
          <w:rFonts w:ascii="Aptos" w:hAnsi="Aptos" w:cs="Arial"/>
          <w:color w:val="000000"/>
          <w:sz w:val="20"/>
        </w:rPr>
      </w:pPr>
      <w:r w:rsidRPr="00373798">
        <w:rPr>
          <w:rFonts w:ascii="Aptos" w:hAnsi="Aptos" w:cs="Arial"/>
          <w:b/>
          <w:color w:val="000000"/>
          <w:sz w:val="20"/>
        </w:rPr>
        <w:lastRenderedPageBreak/>
        <w:t>Part 3:</w:t>
      </w:r>
      <w:r w:rsidRPr="00373798">
        <w:rPr>
          <w:rFonts w:ascii="Aptos" w:hAnsi="Aptos" w:cs="Arial"/>
          <w:color w:val="000000"/>
          <w:sz w:val="20"/>
        </w:rPr>
        <w:t xml:space="preserve"> </w:t>
      </w:r>
      <w:r w:rsidRPr="00373798">
        <w:rPr>
          <w:rFonts w:ascii="Aptos" w:hAnsi="Aptos" w:cs="Arial"/>
          <w:b/>
          <w:color w:val="000000"/>
          <w:sz w:val="20"/>
        </w:rPr>
        <w:t>TAXONOMIC PROPOSAL</w:t>
      </w:r>
    </w:p>
    <w:p w14:paraId="2C80C37D" w14:textId="77777777" w:rsidR="00E92794" w:rsidRPr="00373798"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RPr="00373798" w14:paraId="61A08B0F" w14:textId="77777777" w:rsidTr="00023385">
        <w:tc>
          <w:tcPr>
            <w:tcW w:w="6232" w:type="dxa"/>
            <w:gridSpan w:val="4"/>
            <w:shd w:val="clear" w:color="auto" w:fill="F2F2F2" w:themeFill="background1" w:themeFillShade="F2"/>
          </w:tcPr>
          <w:p w14:paraId="577293E5" w14:textId="6981CA4D" w:rsidR="00E37077" w:rsidRPr="00373798" w:rsidRDefault="00E37077" w:rsidP="00DD58AA">
            <w:pPr>
              <w:rPr>
                <w:rFonts w:ascii="Aptos" w:eastAsia="Times" w:hAnsi="Aptos" w:cs="Arial"/>
                <w:b/>
                <w:color w:val="0070C0"/>
                <w:sz w:val="20"/>
                <w:szCs w:val="20"/>
                <w:lang w:eastAsia="en-GB"/>
              </w:rPr>
            </w:pPr>
            <w:r w:rsidRPr="00373798">
              <w:rPr>
                <w:rFonts w:ascii="Aptos" w:eastAsia="Times" w:hAnsi="Aptos" w:cs="Arial"/>
                <w:b/>
                <w:color w:val="000000"/>
                <w:sz w:val="20"/>
                <w:szCs w:val="20"/>
                <w:lang w:eastAsia="en-GB"/>
              </w:rPr>
              <w:t>Taxonomic changes proposed</w:t>
            </w:r>
            <w:r w:rsidR="006C0F51" w:rsidRPr="00373798">
              <w:rPr>
                <w:rFonts w:ascii="Aptos" w:eastAsia="Times" w:hAnsi="Aptos" w:cs="Arial"/>
                <w:b/>
                <w:color w:val="000000"/>
                <w:sz w:val="20"/>
                <w:szCs w:val="20"/>
                <w:lang w:eastAsia="en-GB"/>
              </w:rPr>
              <w:t>:</w:t>
            </w:r>
          </w:p>
        </w:tc>
      </w:tr>
      <w:tr w:rsidR="00953FFE" w:rsidRPr="00373798" w14:paraId="1E0D3D23" w14:textId="77777777" w:rsidTr="00023385">
        <w:tc>
          <w:tcPr>
            <w:tcW w:w="2972" w:type="dxa"/>
          </w:tcPr>
          <w:p w14:paraId="6B63C19C" w14:textId="375B7AAA" w:rsidR="00953FFE" w:rsidRPr="00373798" w:rsidRDefault="00363A30"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Establish</w:t>
            </w:r>
            <w:r w:rsidR="00953FFE" w:rsidRPr="00373798">
              <w:rPr>
                <w:rFonts w:ascii="Aptos" w:eastAsia="Times" w:hAnsi="Aptos" w:cs="Arial"/>
                <w:color w:val="000000"/>
                <w:sz w:val="20"/>
                <w:szCs w:val="20"/>
                <w:lang w:eastAsia="en-GB"/>
              </w:rPr>
              <w:t xml:space="preserve"> new taxon</w:t>
            </w:r>
          </w:p>
        </w:tc>
        <w:tc>
          <w:tcPr>
            <w:tcW w:w="425" w:type="dxa"/>
          </w:tcPr>
          <w:p w14:paraId="6D0772EF" w14:textId="459C1933" w:rsidR="00953FFE" w:rsidRPr="00373798" w:rsidRDefault="00953FFE" w:rsidP="00DD58AA">
            <w:pPr>
              <w:rPr>
                <w:rFonts w:ascii="Aptos" w:eastAsia="Times" w:hAnsi="Aptos" w:cs="Arial"/>
                <w:b/>
                <w:color w:val="000000"/>
                <w:sz w:val="20"/>
                <w:szCs w:val="20"/>
                <w:lang w:eastAsia="en-GB"/>
              </w:rPr>
            </w:pPr>
          </w:p>
        </w:tc>
        <w:tc>
          <w:tcPr>
            <w:tcW w:w="2410" w:type="dxa"/>
          </w:tcPr>
          <w:p w14:paraId="51D11F01" w14:textId="77777777" w:rsidR="00953FFE" w:rsidRPr="00373798" w:rsidRDefault="00953FFE"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Split taxon</w:t>
            </w:r>
          </w:p>
        </w:tc>
        <w:tc>
          <w:tcPr>
            <w:tcW w:w="425" w:type="dxa"/>
          </w:tcPr>
          <w:p w14:paraId="5E9F3DA8" w14:textId="77777777" w:rsidR="00953FFE" w:rsidRPr="00373798" w:rsidRDefault="00953FFE" w:rsidP="00DD58AA">
            <w:pPr>
              <w:rPr>
                <w:rFonts w:ascii="Aptos" w:eastAsia="Times" w:hAnsi="Aptos" w:cs="Arial"/>
                <w:b/>
                <w:color w:val="000000"/>
                <w:sz w:val="20"/>
                <w:szCs w:val="20"/>
                <w:lang w:eastAsia="en-GB"/>
              </w:rPr>
            </w:pPr>
          </w:p>
        </w:tc>
      </w:tr>
      <w:tr w:rsidR="00953FFE" w:rsidRPr="00373798" w14:paraId="728F008B" w14:textId="77777777" w:rsidTr="00023385">
        <w:tc>
          <w:tcPr>
            <w:tcW w:w="2972" w:type="dxa"/>
          </w:tcPr>
          <w:p w14:paraId="7CEF18CA" w14:textId="77777777" w:rsidR="00953FFE" w:rsidRPr="00373798" w:rsidRDefault="00953FFE"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Abolish taxon</w:t>
            </w:r>
          </w:p>
        </w:tc>
        <w:tc>
          <w:tcPr>
            <w:tcW w:w="425" w:type="dxa"/>
          </w:tcPr>
          <w:p w14:paraId="7B96FC9C" w14:textId="78395EAB" w:rsidR="00953FFE" w:rsidRPr="00373798" w:rsidRDefault="00FE4AC7" w:rsidP="00DD58AA">
            <w:pPr>
              <w:rPr>
                <w:rFonts w:ascii="Aptos" w:eastAsia="Times" w:hAnsi="Aptos" w:cs="Arial"/>
                <w:b/>
                <w:color w:val="000000"/>
                <w:sz w:val="20"/>
                <w:szCs w:val="20"/>
                <w:lang w:eastAsia="en-GB"/>
              </w:rPr>
            </w:pPr>
            <w:r w:rsidRPr="00373798">
              <w:rPr>
                <w:rFonts w:ascii="Aptos" w:eastAsia="Times" w:hAnsi="Aptos" w:cs="Arial"/>
                <w:b/>
                <w:color w:val="000000"/>
                <w:sz w:val="20"/>
                <w:szCs w:val="20"/>
                <w:lang w:eastAsia="en-GB"/>
              </w:rPr>
              <w:t>X</w:t>
            </w:r>
          </w:p>
        </w:tc>
        <w:tc>
          <w:tcPr>
            <w:tcW w:w="2410" w:type="dxa"/>
          </w:tcPr>
          <w:p w14:paraId="6A65D6FE" w14:textId="77777777" w:rsidR="00953FFE" w:rsidRPr="00373798" w:rsidRDefault="00953FFE"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Merge taxon</w:t>
            </w:r>
          </w:p>
        </w:tc>
        <w:tc>
          <w:tcPr>
            <w:tcW w:w="425" w:type="dxa"/>
          </w:tcPr>
          <w:p w14:paraId="5FF5C4E2" w14:textId="6D9303C1" w:rsidR="00953FFE" w:rsidRPr="00373798" w:rsidRDefault="00503678" w:rsidP="00DD58AA">
            <w:pPr>
              <w:rPr>
                <w:rFonts w:ascii="Aptos" w:eastAsia="Times" w:hAnsi="Aptos" w:cs="Arial"/>
                <w:b/>
                <w:color w:val="000000"/>
                <w:sz w:val="20"/>
                <w:szCs w:val="20"/>
                <w:lang w:eastAsia="en-GB"/>
              </w:rPr>
            </w:pPr>
            <w:r w:rsidRPr="00373798">
              <w:rPr>
                <w:rFonts w:ascii="Aptos" w:eastAsia="Times" w:hAnsi="Aptos" w:cs="Arial"/>
                <w:b/>
                <w:color w:val="000000"/>
                <w:sz w:val="20"/>
                <w:szCs w:val="20"/>
                <w:lang w:eastAsia="en-GB"/>
              </w:rPr>
              <w:t>X</w:t>
            </w:r>
          </w:p>
        </w:tc>
      </w:tr>
      <w:tr w:rsidR="00953FFE" w:rsidRPr="00373798" w14:paraId="272ED85B" w14:textId="77777777" w:rsidTr="00023385">
        <w:tc>
          <w:tcPr>
            <w:tcW w:w="2972" w:type="dxa"/>
          </w:tcPr>
          <w:p w14:paraId="7314CAA8" w14:textId="77777777" w:rsidR="00953FFE" w:rsidRPr="00373798" w:rsidRDefault="00953FFE"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Move taxon</w:t>
            </w:r>
          </w:p>
        </w:tc>
        <w:tc>
          <w:tcPr>
            <w:tcW w:w="425" w:type="dxa"/>
          </w:tcPr>
          <w:p w14:paraId="7FAF7A1A" w14:textId="77777777" w:rsidR="00953FFE" w:rsidRPr="00373798"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373798" w:rsidRDefault="00953FFE"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Promote taxon</w:t>
            </w:r>
          </w:p>
        </w:tc>
        <w:tc>
          <w:tcPr>
            <w:tcW w:w="425" w:type="dxa"/>
          </w:tcPr>
          <w:p w14:paraId="43A189C3" w14:textId="77777777" w:rsidR="00953FFE" w:rsidRPr="00373798" w:rsidRDefault="00953FFE" w:rsidP="00DD58AA">
            <w:pPr>
              <w:rPr>
                <w:rFonts w:ascii="Aptos" w:eastAsia="Times" w:hAnsi="Aptos" w:cs="Arial"/>
                <w:b/>
                <w:color w:val="000000"/>
                <w:sz w:val="20"/>
                <w:szCs w:val="20"/>
                <w:lang w:eastAsia="en-GB"/>
              </w:rPr>
            </w:pPr>
          </w:p>
        </w:tc>
      </w:tr>
      <w:tr w:rsidR="00953FFE" w:rsidRPr="00373798" w14:paraId="5BF9C33F" w14:textId="77777777" w:rsidTr="00023385">
        <w:tc>
          <w:tcPr>
            <w:tcW w:w="2972" w:type="dxa"/>
          </w:tcPr>
          <w:p w14:paraId="4B2EDEB8" w14:textId="77777777" w:rsidR="00953FFE" w:rsidRPr="00373798" w:rsidRDefault="00953FFE"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Rename taxon</w:t>
            </w:r>
          </w:p>
        </w:tc>
        <w:tc>
          <w:tcPr>
            <w:tcW w:w="425" w:type="dxa"/>
          </w:tcPr>
          <w:p w14:paraId="60231381" w14:textId="114D75BD" w:rsidR="00953FFE" w:rsidRPr="00373798" w:rsidRDefault="00AE4C95"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3CB033D3" w14:textId="77777777" w:rsidR="00953FFE" w:rsidRPr="00373798" w:rsidRDefault="00953FFE" w:rsidP="00DD58AA">
            <w:pPr>
              <w:rPr>
                <w:rFonts w:ascii="Aptos" w:eastAsia="Times" w:hAnsi="Aptos" w:cs="Arial"/>
                <w:color w:val="000000"/>
                <w:sz w:val="20"/>
                <w:szCs w:val="20"/>
                <w:lang w:eastAsia="en-GB"/>
              </w:rPr>
            </w:pPr>
            <w:r w:rsidRPr="00373798">
              <w:rPr>
                <w:rFonts w:ascii="Aptos" w:eastAsia="Times" w:hAnsi="Aptos" w:cs="Arial"/>
                <w:color w:val="000000"/>
                <w:sz w:val="20"/>
                <w:szCs w:val="20"/>
                <w:lang w:eastAsia="en-GB"/>
              </w:rPr>
              <w:t>Demote taxon</w:t>
            </w:r>
          </w:p>
        </w:tc>
        <w:tc>
          <w:tcPr>
            <w:tcW w:w="425" w:type="dxa"/>
          </w:tcPr>
          <w:p w14:paraId="4EC0F813" w14:textId="107F97DE" w:rsidR="00953FFE" w:rsidRPr="00373798" w:rsidRDefault="00953FFE" w:rsidP="00DD58AA">
            <w:pPr>
              <w:rPr>
                <w:rFonts w:ascii="Aptos" w:eastAsia="Times" w:hAnsi="Aptos" w:cs="Arial"/>
                <w:b/>
                <w:color w:val="000000"/>
                <w:sz w:val="20"/>
                <w:szCs w:val="20"/>
                <w:lang w:eastAsia="en-GB"/>
              </w:rPr>
            </w:pPr>
          </w:p>
        </w:tc>
      </w:tr>
      <w:tr w:rsidR="00953FFE" w:rsidRPr="00373798" w14:paraId="013D4D0A" w14:textId="77777777" w:rsidTr="00023385">
        <w:trPr>
          <w:gridAfter w:val="2"/>
          <w:wAfter w:w="2835" w:type="dxa"/>
        </w:trPr>
        <w:tc>
          <w:tcPr>
            <w:tcW w:w="2972" w:type="dxa"/>
          </w:tcPr>
          <w:p w14:paraId="17C439A1" w14:textId="77777777" w:rsidR="00953FFE" w:rsidRPr="00373798" w:rsidRDefault="00953FFE" w:rsidP="00DD58AA">
            <w:pPr>
              <w:rPr>
                <w:rFonts w:ascii="Aptos" w:hAnsi="Aptos" w:cs="Arial"/>
                <w:b/>
                <w:sz w:val="20"/>
                <w:szCs w:val="20"/>
              </w:rPr>
            </w:pPr>
            <w:r w:rsidRPr="00373798">
              <w:rPr>
                <w:rFonts w:ascii="Aptos" w:eastAsia="Times" w:hAnsi="Aptos" w:cs="Arial"/>
                <w:color w:val="000000"/>
                <w:sz w:val="20"/>
                <w:szCs w:val="20"/>
                <w:lang w:eastAsia="en-GB"/>
              </w:rPr>
              <w:t>Move and rename</w:t>
            </w:r>
          </w:p>
        </w:tc>
        <w:tc>
          <w:tcPr>
            <w:tcW w:w="425" w:type="dxa"/>
          </w:tcPr>
          <w:p w14:paraId="5DE3A4FC" w14:textId="77777777" w:rsidR="00953FFE" w:rsidRPr="00373798" w:rsidRDefault="00953FFE" w:rsidP="00DD58AA">
            <w:pPr>
              <w:rPr>
                <w:rFonts w:ascii="Aptos" w:hAnsi="Aptos" w:cs="Arial"/>
                <w:b/>
                <w:sz w:val="20"/>
                <w:szCs w:val="20"/>
              </w:rPr>
            </w:pPr>
          </w:p>
        </w:tc>
      </w:tr>
    </w:tbl>
    <w:p w14:paraId="063E591F" w14:textId="22B2ED18" w:rsidR="00333392" w:rsidRPr="00373798" w:rsidRDefault="00333392" w:rsidP="00333392">
      <w:pPr>
        <w:rPr>
          <w:rFonts w:ascii="Aptos" w:hAnsi="Aptos" w:cs="Arial"/>
          <w:color w:val="808080" w:themeColor="background1" w:themeShade="80"/>
          <w:sz w:val="20"/>
        </w:rPr>
      </w:pPr>
    </w:p>
    <w:p w14:paraId="453E7D9F" w14:textId="77777777" w:rsidR="00E92794" w:rsidRPr="00373798"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373798" w14:paraId="5823A95C" w14:textId="77777777" w:rsidTr="00783ED6">
        <w:trPr>
          <w:trHeight w:val="297"/>
        </w:trPr>
        <w:tc>
          <w:tcPr>
            <w:tcW w:w="8926" w:type="dxa"/>
            <w:gridSpan w:val="2"/>
            <w:shd w:val="clear" w:color="auto" w:fill="F2F2F2" w:themeFill="background1" w:themeFillShade="F2"/>
          </w:tcPr>
          <w:p w14:paraId="20EDA6C5" w14:textId="1D843FBE" w:rsidR="00333392" w:rsidRPr="00373798" w:rsidRDefault="00333392" w:rsidP="00783ED6">
            <w:pPr>
              <w:rPr>
                <w:rFonts w:ascii="Aptos" w:hAnsi="Aptos" w:cs="Arial"/>
                <w:b/>
                <w:color w:val="0000FF"/>
                <w:sz w:val="20"/>
              </w:rPr>
            </w:pPr>
            <w:r w:rsidRPr="00373798">
              <w:rPr>
                <w:rFonts w:ascii="Aptos" w:hAnsi="Aptos" w:cs="Arial"/>
                <w:b/>
                <w:sz w:val="20"/>
                <w:szCs w:val="20"/>
              </w:rPr>
              <w:t xml:space="preserve">Etymology </w:t>
            </w:r>
            <w:r w:rsidR="00FC2269" w:rsidRPr="00373798">
              <w:rPr>
                <w:rFonts w:ascii="Aptos" w:hAnsi="Aptos" w:cs="Arial"/>
                <w:b/>
                <w:sz w:val="20"/>
                <w:szCs w:val="20"/>
              </w:rPr>
              <w:t xml:space="preserve">(origin) </w:t>
            </w:r>
            <w:r w:rsidRPr="00373798">
              <w:rPr>
                <w:rFonts w:ascii="Aptos" w:hAnsi="Aptos" w:cs="Arial"/>
                <w:b/>
                <w:sz w:val="20"/>
                <w:szCs w:val="20"/>
              </w:rPr>
              <w:t>of proposed taxonomic names:</w:t>
            </w:r>
          </w:p>
        </w:tc>
      </w:tr>
      <w:tr w:rsidR="00333392" w:rsidRPr="00373798" w14:paraId="08F7F3C3" w14:textId="77777777" w:rsidTr="00FC2269">
        <w:trPr>
          <w:trHeight w:val="73"/>
        </w:trPr>
        <w:tc>
          <w:tcPr>
            <w:tcW w:w="2547" w:type="dxa"/>
          </w:tcPr>
          <w:p w14:paraId="6B25076F" w14:textId="0D060A7A" w:rsidR="00333392" w:rsidRPr="00373798" w:rsidRDefault="00333392" w:rsidP="00783ED6">
            <w:pPr>
              <w:rPr>
                <w:rFonts w:ascii="Aptos" w:hAnsi="Aptos" w:cs="Arial"/>
                <w:b/>
                <w:sz w:val="20"/>
                <w:szCs w:val="20"/>
              </w:rPr>
            </w:pPr>
            <w:r w:rsidRPr="00373798">
              <w:rPr>
                <w:rFonts w:ascii="Aptos" w:hAnsi="Aptos" w:cs="Arial"/>
                <w:b/>
                <w:sz w:val="20"/>
                <w:szCs w:val="20"/>
              </w:rPr>
              <w:t xml:space="preserve">Taxon name </w:t>
            </w:r>
          </w:p>
        </w:tc>
        <w:tc>
          <w:tcPr>
            <w:tcW w:w="6379" w:type="dxa"/>
          </w:tcPr>
          <w:p w14:paraId="069B2570" w14:textId="77777777" w:rsidR="00333392" w:rsidRPr="00373798" w:rsidRDefault="00333392" w:rsidP="00783ED6">
            <w:pPr>
              <w:rPr>
                <w:rFonts w:ascii="Aptos" w:hAnsi="Aptos" w:cs="Arial"/>
                <w:b/>
                <w:sz w:val="20"/>
                <w:szCs w:val="20"/>
              </w:rPr>
            </w:pPr>
            <w:r w:rsidRPr="00373798">
              <w:rPr>
                <w:rFonts w:ascii="Aptos" w:hAnsi="Aptos" w:cs="Arial"/>
                <w:b/>
                <w:sz w:val="20"/>
                <w:szCs w:val="20"/>
              </w:rPr>
              <w:t>Etymology of the term</w:t>
            </w:r>
          </w:p>
        </w:tc>
      </w:tr>
      <w:tr w:rsidR="00333392" w:rsidRPr="00373798" w14:paraId="48273F44" w14:textId="77777777" w:rsidTr="00040CB0">
        <w:trPr>
          <w:trHeight w:val="71"/>
        </w:trPr>
        <w:tc>
          <w:tcPr>
            <w:tcW w:w="2547" w:type="dxa"/>
            <w:vAlign w:val="center"/>
          </w:tcPr>
          <w:p w14:paraId="2B4F2A8D" w14:textId="4394869C" w:rsidR="00333392" w:rsidRPr="00875F68" w:rsidRDefault="00503678" w:rsidP="00040CB0">
            <w:pPr>
              <w:jc w:val="both"/>
              <w:rPr>
                <w:rFonts w:ascii="Aptos" w:hAnsi="Aptos" w:cs="Arial"/>
                <w:bCs/>
                <w:i/>
                <w:iCs/>
                <w:color w:val="000000" w:themeColor="text1"/>
                <w:sz w:val="20"/>
                <w:szCs w:val="20"/>
              </w:rPr>
            </w:pPr>
            <w:r w:rsidRPr="00875F68">
              <w:rPr>
                <w:rFonts w:ascii="Aptos" w:hAnsi="Aptos" w:cs="Arial"/>
                <w:bCs/>
                <w:i/>
                <w:iCs/>
                <w:color w:val="000000" w:themeColor="text1"/>
                <w:sz w:val="20"/>
                <w:szCs w:val="20"/>
              </w:rPr>
              <w:t xml:space="preserve">Orthoflavivirus </w:t>
            </w:r>
            <w:proofErr w:type="spellStart"/>
            <w:r w:rsidRPr="00875F68">
              <w:rPr>
                <w:rFonts w:ascii="Aptos" w:hAnsi="Aptos" w:cs="Arial"/>
                <w:bCs/>
                <w:i/>
                <w:iCs/>
                <w:color w:val="000000" w:themeColor="text1"/>
                <w:sz w:val="20"/>
                <w:szCs w:val="20"/>
              </w:rPr>
              <w:t>eurasiaticus</w:t>
            </w:r>
            <w:proofErr w:type="spellEnd"/>
          </w:p>
        </w:tc>
        <w:tc>
          <w:tcPr>
            <w:tcW w:w="6379" w:type="dxa"/>
            <w:vAlign w:val="center"/>
          </w:tcPr>
          <w:p w14:paraId="00C9E477" w14:textId="17174122" w:rsidR="00880645" w:rsidRPr="00373798" w:rsidRDefault="00880645" w:rsidP="00040CB0">
            <w:pPr>
              <w:jc w:val="both"/>
              <w:rPr>
                <w:rFonts w:ascii="Aptos" w:hAnsi="Aptos" w:cs="Arial"/>
                <w:bCs/>
                <w:color w:val="000000" w:themeColor="text1"/>
                <w:sz w:val="20"/>
                <w:szCs w:val="20"/>
              </w:rPr>
            </w:pPr>
            <w:r w:rsidRPr="00373798">
              <w:rPr>
                <w:rFonts w:ascii="Aptos" w:hAnsi="Aptos" w:cs="Arial"/>
                <w:bCs/>
                <w:color w:val="000000" w:themeColor="text1"/>
                <w:sz w:val="20"/>
                <w:szCs w:val="20"/>
              </w:rPr>
              <w:t xml:space="preserve">Genus </w:t>
            </w:r>
            <w:r w:rsidRPr="00923D4C">
              <w:rPr>
                <w:rFonts w:ascii="Aptos" w:hAnsi="Aptos" w:cs="Arial"/>
                <w:bCs/>
                <w:i/>
                <w:iCs/>
                <w:color w:val="000000" w:themeColor="text1"/>
                <w:sz w:val="20"/>
                <w:szCs w:val="20"/>
              </w:rPr>
              <w:t>Orthoflavivirus</w:t>
            </w:r>
            <w:r w:rsidRPr="00373798">
              <w:rPr>
                <w:rFonts w:ascii="Aptos" w:hAnsi="Aptos" w:cs="Arial"/>
                <w:bCs/>
                <w:color w:val="000000" w:themeColor="text1"/>
                <w:sz w:val="20"/>
                <w:szCs w:val="20"/>
              </w:rPr>
              <w:t xml:space="preserve">: from Greek </w:t>
            </w:r>
            <w:proofErr w:type="spellStart"/>
            <w:r w:rsidRPr="00373798">
              <w:rPr>
                <w:rFonts w:ascii="Aptos" w:hAnsi="Aptos" w:cs="Arial"/>
                <w:bCs/>
                <w:i/>
                <w:iCs/>
                <w:color w:val="000000" w:themeColor="text1"/>
                <w:sz w:val="20"/>
                <w:szCs w:val="20"/>
              </w:rPr>
              <w:t>orthos</w:t>
            </w:r>
            <w:proofErr w:type="spellEnd"/>
            <w:r w:rsidRPr="00373798">
              <w:rPr>
                <w:rFonts w:ascii="Aptos" w:hAnsi="Aptos" w:cs="Arial"/>
                <w:bCs/>
                <w:color w:val="000000" w:themeColor="text1"/>
                <w:sz w:val="20"/>
                <w:szCs w:val="20"/>
              </w:rPr>
              <w:t xml:space="preserve"> – "true, correct" + Latin flavus – "yellow" (referring to yellow fever virus, the type species of the genus). </w:t>
            </w:r>
          </w:p>
          <w:p w14:paraId="7B420BBC" w14:textId="77777777" w:rsidR="00880645" w:rsidRPr="00373798" w:rsidRDefault="00880645" w:rsidP="00880645">
            <w:pPr>
              <w:jc w:val="both"/>
              <w:rPr>
                <w:rFonts w:ascii="Aptos" w:hAnsi="Aptos" w:cs="Arial"/>
                <w:bCs/>
                <w:color w:val="000000" w:themeColor="text1"/>
                <w:sz w:val="20"/>
                <w:szCs w:val="20"/>
              </w:rPr>
            </w:pPr>
          </w:p>
          <w:p w14:paraId="17202B3B" w14:textId="17A393A5" w:rsidR="00880645" w:rsidRPr="00373798" w:rsidRDefault="00880645" w:rsidP="00880645">
            <w:pPr>
              <w:jc w:val="both"/>
              <w:rPr>
                <w:rFonts w:ascii="Aptos" w:hAnsi="Aptos" w:cs="Arial"/>
                <w:bCs/>
                <w:color w:val="000000" w:themeColor="text1"/>
                <w:sz w:val="20"/>
                <w:szCs w:val="20"/>
              </w:rPr>
            </w:pPr>
            <w:r w:rsidRPr="00373798">
              <w:rPr>
                <w:rFonts w:ascii="Aptos" w:hAnsi="Aptos" w:cs="Arial"/>
                <w:bCs/>
                <w:color w:val="000000" w:themeColor="text1"/>
                <w:sz w:val="20"/>
                <w:szCs w:val="20"/>
              </w:rPr>
              <w:t xml:space="preserve">Species epithet </w:t>
            </w:r>
            <w:proofErr w:type="spellStart"/>
            <w:r w:rsidRPr="00373798">
              <w:rPr>
                <w:rFonts w:ascii="Aptos" w:hAnsi="Aptos" w:cs="Arial"/>
                <w:bCs/>
                <w:color w:val="000000" w:themeColor="text1"/>
                <w:sz w:val="20"/>
                <w:szCs w:val="20"/>
              </w:rPr>
              <w:t>eurasiaticus</w:t>
            </w:r>
            <w:proofErr w:type="spellEnd"/>
            <w:r w:rsidRPr="00373798">
              <w:rPr>
                <w:rFonts w:ascii="Aptos" w:hAnsi="Aptos" w:cs="Arial"/>
                <w:bCs/>
                <w:color w:val="000000" w:themeColor="text1"/>
                <w:sz w:val="20"/>
                <w:szCs w:val="20"/>
              </w:rPr>
              <w:t xml:space="preserve">: Latin </w:t>
            </w:r>
            <w:proofErr w:type="spellStart"/>
            <w:r w:rsidRPr="00373798">
              <w:rPr>
                <w:rFonts w:ascii="Aptos" w:hAnsi="Aptos" w:cs="Arial"/>
                <w:bCs/>
                <w:color w:val="000000" w:themeColor="text1"/>
                <w:sz w:val="20"/>
                <w:szCs w:val="20"/>
              </w:rPr>
              <w:t>Eurasiaticus</w:t>
            </w:r>
            <w:proofErr w:type="spellEnd"/>
            <w:r w:rsidRPr="00373798">
              <w:rPr>
                <w:rFonts w:ascii="Aptos" w:hAnsi="Aptos" w:cs="Arial"/>
                <w:bCs/>
                <w:color w:val="000000" w:themeColor="text1"/>
                <w:sz w:val="20"/>
                <w:szCs w:val="20"/>
              </w:rPr>
              <w:t xml:space="preserve"> – "Eurasian". The name reflects the geographical distribution of the viruses included in this species across the Eurasian continent.</w:t>
            </w:r>
          </w:p>
        </w:tc>
      </w:tr>
    </w:tbl>
    <w:p w14:paraId="5F22ACD3" w14:textId="49F64D4D" w:rsidR="00E92794" w:rsidRPr="00373798" w:rsidRDefault="00E92794" w:rsidP="00DD58AA">
      <w:pPr>
        <w:rPr>
          <w:rFonts w:ascii="Aptos" w:hAnsi="Aptos" w:cs="Arial"/>
          <w:color w:val="0000FF"/>
          <w:sz w:val="20"/>
          <w:szCs w:val="20"/>
        </w:rPr>
      </w:pPr>
    </w:p>
    <w:p w14:paraId="09006B94" w14:textId="77777777" w:rsidR="00E92794" w:rsidRPr="00373798" w:rsidRDefault="00E92794">
      <w:pPr>
        <w:rPr>
          <w:rFonts w:ascii="Aptos" w:hAnsi="Aptos" w:cs="Arial"/>
          <w:color w:val="0000FF"/>
          <w:sz w:val="20"/>
          <w:szCs w:val="20"/>
        </w:rPr>
      </w:pPr>
      <w:r w:rsidRPr="00373798">
        <w:rPr>
          <w:rFonts w:ascii="Aptos" w:hAnsi="Aptos" w:cs="Arial"/>
          <w:color w:val="0000FF"/>
          <w:sz w:val="20"/>
          <w:szCs w:val="20"/>
        </w:rPr>
        <w:br w:type="page"/>
      </w:r>
    </w:p>
    <w:p w14:paraId="32F05B96" w14:textId="77777777" w:rsidR="00E92794" w:rsidRPr="00373798"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373798" w14:paraId="0E84D0F2" w14:textId="77777777" w:rsidTr="00683D0C">
        <w:tc>
          <w:tcPr>
            <w:tcW w:w="8926" w:type="dxa"/>
            <w:shd w:val="clear" w:color="auto" w:fill="F2F2F2" w:themeFill="background1" w:themeFillShade="F2"/>
          </w:tcPr>
          <w:p w14:paraId="5831EE03" w14:textId="25949BAF" w:rsidR="00A77B8E" w:rsidRPr="00373798" w:rsidRDefault="00A77B8E" w:rsidP="00E92794">
            <w:pPr>
              <w:rPr>
                <w:rFonts w:ascii="Aptos" w:hAnsi="Aptos" w:cs="Arial"/>
                <w:color w:val="0000FF"/>
                <w:sz w:val="20"/>
                <w:szCs w:val="20"/>
              </w:rPr>
            </w:pPr>
            <w:r w:rsidRPr="00373798">
              <w:rPr>
                <w:rFonts w:ascii="Aptos" w:hAnsi="Aptos" w:cs="Arial"/>
                <w:b/>
                <w:sz w:val="20"/>
                <w:szCs w:val="20"/>
              </w:rPr>
              <w:t>Abstract</w:t>
            </w:r>
            <w:r w:rsidR="002A5A83" w:rsidRPr="00373798">
              <w:rPr>
                <w:rFonts w:ascii="Aptos" w:hAnsi="Aptos" w:cs="Arial"/>
                <w:b/>
                <w:sz w:val="20"/>
                <w:szCs w:val="20"/>
              </w:rPr>
              <w:t xml:space="preserve"> of Taxonomy Proposal</w:t>
            </w:r>
            <w:r w:rsidR="006C0F51" w:rsidRPr="00373798">
              <w:rPr>
                <w:rFonts w:ascii="Aptos" w:hAnsi="Aptos" w:cs="Arial"/>
                <w:b/>
                <w:sz w:val="20"/>
                <w:szCs w:val="20"/>
              </w:rPr>
              <w:t>:</w:t>
            </w:r>
            <w:r w:rsidRPr="00373798">
              <w:rPr>
                <w:rFonts w:ascii="Aptos" w:hAnsi="Aptos" w:cs="Arial"/>
                <w:b/>
                <w:sz w:val="20"/>
                <w:szCs w:val="20"/>
              </w:rPr>
              <w:t xml:space="preserve"> </w:t>
            </w:r>
          </w:p>
        </w:tc>
      </w:tr>
      <w:tr w:rsidR="00A77B8E" w:rsidRPr="00373798" w14:paraId="62FCA94B" w14:textId="77777777" w:rsidTr="00A77B8E">
        <w:tc>
          <w:tcPr>
            <w:tcW w:w="8926" w:type="dxa"/>
          </w:tcPr>
          <w:p w14:paraId="74F5DDF6" w14:textId="77777777" w:rsidR="00672B64" w:rsidRPr="00373798" w:rsidRDefault="00672B64" w:rsidP="00672B64">
            <w:pPr>
              <w:rPr>
                <w:rFonts w:ascii="Aptos" w:hAnsi="Aptos" w:cs="Arial"/>
                <w:sz w:val="20"/>
                <w:szCs w:val="20"/>
              </w:rPr>
            </w:pPr>
            <w:r w:rsidRPr="00373798">
              <w:rPr>
                <w:rFonts w:ascii="Aptos" w:hAnsi="Aptos" w:cs="Arial"/>
                <w:i/>
                <w:sz w:val="20"/>
                <w:szCs w:val="20"/>
              </w:rPr>
              <w:t>Description of current taxonomy</w:t>
            </w:r>
            <w:r w:rsidRPr="00373798">
              <w:rPr>
                <w:rFonts w:ascii="Aptos" w:hAnsi="Aptos" w:cs="Arial"/>
                <w:sz w:val="20"/>
                <w:szCs w:val="20"/>
              </w:rPr>
              <w:t xml:space="preserve">: </w:t>
            </w:r>
          </w:p>
          <w:p w14:paraId="17512214" w14:textId="3ED3D223" w:rsidR="00672B64" w:rsidRPr="00373798" w:rsidRDefault="00672B64" w:rsidP="00672B64">
            <w:pPr>
              <w:rPr>
                <w:rFonts w:ascii="Aptos" w:hAnsi="Aptos" w:cs="Arial"/>
                <w:sz w:val="20"/>
                <w:szCs w:val="20"/>
              </w:rPr>
            </w:pPr>
            <w:r w:rsidRPr="00373798">
              <w:rPr>
                <w:rFonts w:ascii="Aptos" w:hAnsi="Aptos" w:cs="Arial"/>
                <w:sz w:val="20"/>
                <w:szCs w:val="20"/>
              </w:rPr>
              <w:t xml:space="preserve">The genus </w:t>
            </w:r>
            <w:r w:rsidRPr="00875F68">
              <w:rPr>
                <w:rFonts w:ascii="Aptos" w:hAnsi="Aptos" w:cs="Arial"/>
                <w:i/>
                <w:iCs/>
                <w:sz w:val="20"/>
                <w:szCs w:val="20"/>
              </w:rPr>
              <w:t>Orthoflavivirus</w:t>
            </w:r>
            <w:r w:rsidRPr="00373798">
              <w:rPr>
                <w:rFonts w:ascii="Aptos" w:hAnsi="Aptos" w:cs="Arial"/>
                <w:sz w:val="20"/>
                <w:szCs w:val="20"/>
              </w:rPr>
              <w:t xml:space="preserve"> (family </w:t>
            </w:r>
            <w:r w:rsidRPr="00875F68">
              <w:rPr>
                <w:rFonts w:ascii="Aptos" w:hAnsi="Aptos" w:cs="Arial"/>
                <w:i/>
                <w:iCs/>
                <w:sz w:val="20"/>
                <w:szCs w:val="20"/>
              </w:rPr>
              <w:t>Flaviviridae</w:t>
            </w:r>
            <w:r w:rsidRPr="00373798">
              <w:rPr>
                <w:rFonts w:ascii="Aptos" w:hAnsi="Aptos" w:cs="Arial"/>
                <w:sz w:val="20"/>
                <w:szCs w:val="20"/>
              </w:rPr>
              <w:t xml:space="preserve">) previously included the species </w:t>
            </w:r>
            <w:r w:rsidRPr="00875F68">
              <w:rPr>
                <w:rFonts w:ascii="Aptos" w:hAnsi="Aptos" w:cs="Arial"/>
                <w:i/>
                <w:iCs/>
                <w:sz w:val="20"/>
                <w:szCs w:val="20"/>
              </w:rPr>
              <w:t xml:space="preserve">Orthoflavivirus </w:t>
            </w:r>
            <w:proofErr w:type="spellStart"/>
            <w:r w:rsidRPr="00875F68">
              <w:rPr>
                <w:rFonts w:ascii="Aptos" w:hAnsi="Aptos" w:cs="Arial"/>
                <w:i/>
                <w:iCs/>
                <w:sz w:val="20"/>
                <w:szCs w:val="20"/>
              </w:rPr>
              <w:t>encephalitidis</w:t>
            </w:r>
            <w:proofErr w:type="spellEnd"/>
            <w:r w:rsidRPr="00373798">
              <w:rPr>
                <w:rFonts w:ascii="Aptos" w:hAnsi="Aptos" w:cs="Arial"/>
                <w:sz w:val="20"/>
                <w:szCs w:val="20"/>
              </w:rPr>
              <w:t xml:space="preserve">, consisting </w:t>
            </w:r>
            <w:r w:rsidR="00FE4AC7" w:rsidRPr="00373798">
              <w:rPr>
                <w:rFonts w:ascii="Aptos" w:hAnsi="Aptos" w:cs="Arial"/>
                <w:sz w:val="20"/>
                <w:szCs w:val="20"/>
              </w:rPr>
              <w:t>of</w:t>
            </w:r>
            <w:r w:rsidRPr="00373798">
              <w:rPr>
                <w:rFonts w:ascii="Aptos" w:hAnsi="Aptos" w:cs="Arial"/>
                <w:sz w:val="20"/>
                <w:szCs w:val="20"/>
              </w:rPr>
              <w:t xml:space="preserve"> all subtypes of tick-borne encephalitis virus (TBEV). In a recently ratified proposal (</w:t>
            </w:r>
            <w:proofErr w:type="gramStart"/>
            <w:r w:rsidRPr="00373798">
              <w:rPr>
                <w:rFonts w:ascii="Aptos" w:hAnsi="Aptos" w:cs="Arial"/>
                <w:sz w:val="20"/>
                <w:szCs w:val="20"/>
              </w:rPr>
              <w:t>2025.007S.A</w:t>
            </w:r>
            <w:proofErr w:type="gramEnd"/>
            <w:r w:rsidRPr="00373798">
              <w:rPr>
                <w:rFonts w:ascii="Aptos" w:hAnsi="Aptos" w:cs="Arial"/>
                <w:sz w:val="20"/>
                <w:szCs w:val="20"/>
              </w:rPr>
              <w:t xml:space="preserve">.v3.Orthoflavivirus_2nsp_1spren), </w:t>
            </w:r>
            <w:r w:rsidRPr="00875F68">
              <w:rPr>
                <w:rFonts w:ascii="Aptos" w:hAnsi="Aptos" w:cs="Arial"/>
                <w:i/>
                <w:iCs/>
                <w:sz w:val="20"/>
                <w:szCs w:val="20"/>
              </w:rPr>
              <w:t xml:space="preserve">O. </w:t>
            </w:r>
            <w:proofErr w:type="spellStart"/>
            <w:r w:rsidRPr="00875F68">
              <w:rPr>
                <w:rFonts w:ascii="Aptos" w:hAnsi="Aptos" w:cs="Arial"/>
                <w:i/>
                <w:iCs/>
                <w:sz w:val="20"/>
                <w:szCs w:val="20"/>
              </w:rPr>
              <w:t>encephalitidis</w:t>
            </w:r>
            <w:proofErr w:type="spellEnd"/>
            <w:r w:rsidRPr="00373798">
              <w:rPr>
                <w:rFonts w:ascii="Aptos" w:hAnsi="Aptos" w:cs="Arial"/>
                <w:sz w:val="20"/>
                <w:szCs w:val="20"/>
              </w:rPr>
              <w:t xml:space="preserve"> was split into four distinct species: </w:t>
            </w:r>
            <w:r w:rsidRPr="00875F68">
              <w:rPr>
                <w:rFonts w:ascii="Aptos" w:hAnsi="Aptos" w:cs="Arial"/>
                <w:i/>
                <w:iCs/>
                <w:sz w:val="20"/>
                <w:szCs w:val="20"/>
              </w:rPr>
              <w:t xml:space="preserve">O. </w:t>
            </w:r>
            <w:proofErr w:type="spellStart"/>
            <w:r w:rsidRPr="00875F68">
              <w:rPr>
                <w:rFonts w:ascii="Aptos" w:hAnsi="Aptos" w:cs="Arial"/>
                <w:i/>
                <w:iCs/>
                <w:sz w:val="20"/>
                <w:szCs w:val="20"/>
              </w:rPr>
              <w:t>neudoerflense</w:t>
            </w:r>
            <w:proofErr w:type="spellEnd"/>
            <w:r w:rsidRPr="00373798">
              <w:rPr>
                <w:rFonts w:ascii="Aptos" w:hAnsi="Aptos" w:cs="Arial"/>
                <w:sz w:val="20"/>
                <w:szCs w:val="20"/>
              </w:rPr>
              <w:t xml:space="preserve"> (for TBEV-Eur), </w:t>
            </w:r>
            <w:r w:rsidRPr="00875F68">
              <w:rPr>
                <w:rFonts w:ascii="Aptos" w:hAnsi="Aptos" w:cs="Arial"/>
                <w:i/>
                <w:iCs/>
                <w:sz w:val="20"/>
                <w:szCs w:val="20"/>
              </w:rPr>
              <w:t xml:space="preserve">O. </w:t>
            </w:r>
            <w:proofErr w:type="spellStart"/>
            <w:r w:rsidRPr="00875F68">
              <w:rPr>
                <w:rFonts w:ascii="Aptos" w:hAnsi="Aptos" w:cs="Arial"/>
                <w:i/>
                <w:iCs/>
                <w:sz w:val="20"/>
                <w:szCs w:val="20"/>
              </w:rPr>
              <w:t>zilberi</w:t>
            </w:r>
            <w:proofErr w:type="spellEnd"/>
            <w:r w:rsidRPr="00373798">
              <w:rPr>
                <w:rFonts w:ascii="Aptos" w:hAnsi="Aptos" w:cs="Arial"/>
                <w:sz w:val="20"/>
                <w:szCs w:val="20"/>
              </w:rPr>
              <w:t xml:space="preserve"> (for TBEV-FE, -Sib, -Bkl-1, -Bkl-2, -Ob, -Him), </w:t>
            </w:r>
            <w:r w:rsidRPr="00875F68">
              <w:rPr>
                <w:rFonts w:ascii="Aptos" w:hAnsi="Aptos" w:cs="Arial"/>
                <w:i/>
                <w:iCs/>
                <w:sz w:val="20"/>
                <w:szCs w:val="20"/>
              </w:rPr>
              <w:t xml:space="preserve">O. </w:t>
            </w:r>
            <w:proofErr w:type="spellStart"/>
            <w:r w:rsidRPr="00875F68">
              <w:rPr>
                <w:rFonts w:ascii="Aptos" w:hAnsi="Aptos" w:cs="Arial"/>
                <w:i/>
                <w:iCs/>
                <w:sz w:val="20"/>
                <w:szCs w:val="20"/>
              </w:rPr>
              <w:t>loupingi</w:t>
            </w:r>
            <w:proofErr w:type="spellEnd"/>
            <w:r w:rsidRPr="00373798">
              <w:rPr>
                <w:rFonts w:ascii="Aptos" w:hAnsi="Aptos" w:cs="Arial"/>
                <w:sz w:val="20"/>
                <w:szCs w:val="20"/>
              </w:rPr>
              <w:t xml:space="preserve"> (for LIV, SGEV, SSEV), and </w:t>
            </w:r>
            <w:r w:rsidRPr="00875F68">
              <w:rPr>
                <w:rFonts w:ascii="Aptos" w:hAnsi="Aptos" w:cs="Arial"/>
                <w:i/>
                <w:iCs/>
                <w:sz w:val="20"/>
                <w:szCs w:val="20"/>
              </w:rPr>
              <w:t xml:space="preserve">O. </w:t>
            </w:r>
            <w:proofErr w:type="spellStart"/>
            <w:r w:rsidRPr="00875F68">
              <w:rPr>
                <w:rFonts w:ascii="Aptos" w:hAnsi="Aptos" w:cs="Arial"/>
                <w:i/>
                <w:iCs/>
                <w:sz w:val="20"/>
                <w:szCs w:val="20"/>
              </w:rPr>
              <w:t>mediterranense</w:t>
            </w:r>
            <w:proofErr w:type="spellEnd"/>
            <w:r w:rsidRPr="00373798">
              <w:rPr>
                <w:rFonts w:ascii="Aptos" w:hAnsi="Aptos" w:cs="Arial"/>
                <w:sz w:val="20"/>
                <w:szCs w:val="20"/>
              </w:rPr>
              <w:t xml:space="preserve"> (for TSEV, GGEV). </w:t>
            </w:r>
          </w:p>
          <w:p w14:paraId="1E95088C" w14:textId="77777777" w:rsidR="00672B64" w:rsidRPr="00373798" w:rsidRDefault="00672B64" w:rsidP="00672B64">
            <w:pPr>
              <w:rPr>
                <w:rFonts w:ascii="Aptos" w:hAnsi="Aptos" w:cs="Arial"/>
                <w:sz w:val="20"/>
                <w:szCs w:val="20"/>
              </w:rPr>
            </w:pPr>
          </w:p>
          <w:p w14:paraId="5675ADF0" w14:textId="77777777" w:rsidR="00672B64" w:rsidRPr="00373798" w:rsidRDefault="00672B64" w:rsidP="00672B64">
            <w:pPr>
              <w:rPr>
                <w:rFonts w:ascii="Aptos" w:hAnsi="Aptos" w:cs="Arial"/>
                <w:sz w:val="20"/>
                <w:szCs w:val="20"/>
              </w:rPr>
            </w:pPr>
            <w:r w:rsidRPr="00373798">
              <w:rPr>
                <w:rFonts w:ascii="Aptos" w:hAnsi="Aptos" w:cs="Arial"/>
                <w:i/>
                <w:sz w:val="20"/>
                <w:szCs w:val="20"/>
              </w:rPr>
              <w:t>Proposed</w:t>
            </w:r>
            <w:r w:rsidRPr="00373798">
              <w:rPr>
                <w:rFonts w:ascii="Aptos" w:hAnsi="Aptos" w:cs="Arial"/>
                <w:sz w:val="20"/>
                <w:szCs w:val="20"/>
              </w:rPr>
              <w:t xml:space="preserve"> </w:t>
            </w:r>
            <w:r w:rsidRPr="00373798">
              <w:rPr>
                <w:rFonts w:ascii="Aptos" w:hAnsi="Aptos" w:cs="Arial"/>
                <w:i/>
                <w:sz w:val="20"/>
                <w:szCs w:val="20"/>
              </w:rPr>
              <w:t>taxonomic changes:</w:t>
            </w:r>
            <w:r w:rsidRPr="00373798">
              <w:rPr>
                <w:rFonts w:ascii="Aptos" w:hAnsi="Aptos" w:cs="Arial"/>
                <w:sz w:val="20"/>
                <w:szCs w:val="20"/>
              </w:rPr>
              <w:t xml:space="preserve"> </w:t>
            </w:r>
          </w:p>
          <w:p w14:paraId="7B9EAA2C" w14:textId="73C70001" w:rsidR="00672B64" w:rsidRPr="00373798" w:rsidRDefault="00672B64" w:rsidP="00672B64">
            <w:pPr>
              <w:rPr>
                <w:rFonts w:ascii="Aptos" w:hAnsi="Aptos" w:cs="Arial"/>
                <w:sz w:val="20"/>
                <w:szCs w:val="20"/>
              </w:rPr>
            </w:pPr>
            <w:r w:rsidRPr="00373798">
              <w:rPr>
                <w:rFonts w:ascii="Aptos" w:hAnsi="Aptos" w:cs="Arial"/>
                <w:sz w:val="20"/>
                <w:szCs w:val="20"/>
              </w:rPr>
              <w:t>We propose to merge these four species, together with OHFV</w:t>
            </w:r>
            <w:r w:rsidR="00AD3D50">
              <w:rPr>
                <w:rFonts w:ascii="Aptos" w:hAnsi="Aptos" w:cs="Arial"/>
                <w:sz w:val="20"/>
                <w:szCs w:val="20"/>
              </w:rPr>
              <w:t xml:space="preserve"> (</w:t>
            </w:r>
            <w:r w:rsidR="00AD3D50" w:rsidRPr="00923D4C">
              <w:rPr>
                <w:rFonts w:ascii="Aptos" w:hAnsi="Aptos" w:cs="Arial"/>
                <w:i/>
                <w:iCs/>
                <w:sz w:val="20"/>
                <w:szCs w:val="20"/>
              </w:rPr>
              <w:t xml:space="preserve">O. </w:t>
            </w:r>
            <w:proofErr w:type="spellStart"/>
            <w:r w:rsidR="00AD3D50" w:rsidRPr="00923D4C">
              <w:rPr>
                <w:rFonts w:ascii="Aptos" w:hAnsi="Aptos" w:cs="Arial"/>
                <w:i/>
                <w:iCs/>
                <w:sz w:val="20"/>
                <w:szCs w:val="20"/>
              </w:rPr>
              <w:t>omskense</w:t>
            </w:r>
            <w:proofErr w:type="spellEnd"/>
            <w:r w:rsidR="00AD3D50">
              <w:rPr>
                <w:rFonts w:ascii="Aptos" w:hAnsi="Aptos" w:cs="Arial"/>
                <w:sz w:val="20"/>
                <w:szCs w:val="20"/>
              </w:rPr>
              <w:t>)</w:t>
            </w:r>
            <w:r w:rsidRPr="00373798">
              <w:rPr>
                <w:rFonts w:ascii="Aptos" w:hAnsi="Aptos" w:cs="Arial"/>
                <w:sz w:val="20"/>
                <w:szCs w:val="20"/>
              </w:rPr>
              <w:t xml:space="preserve">, into a single species: </w:t>
            </w:r>
            <w:r w:rsidR="00564475">
              <w:rPr>
                <w:rFonts w:ascii="Aptos" w:hAnsi="Aptos" w:cs="Arial"/>
                <w:sz w:val="20"/>
                <w:szCs w:val="20"/>
              </w:rPr>
              <w:t>“</w:t>
            </w:r>
            <w:r w:rsidRPr="00875F68">
              <w:rPr>
                <w:rFonts w:ascii="Aptos" w:hAnsi="Aptos" w:cs="Arial"/>
                <w:i/>
                <w:iCs/>
                <w:sz w:val="20"/>
                <w:szCs w:val="20"/>
              </w:rPr>
              <w:t xml:space="preserve">Orthoflavivirus </w:t>
            </w:r>
            <w:proofErr w:type="spellStart"/>
            <w:r w:rsidRPr="00875F68">
              <w:rPr>
                <w:rFonts w:ascii="Aptos" w:hAnsi="Aptos" w:cs="Arial"/>
                <w:i/>
                <w:iCs/>
                <w:sz w:val="20"/>
                <w:szCs w:val="20"/>
              </w:rPr>
              <w:t>eurasiaticus</w:t>
            </w:r>
            <w:proofErr w:type="spellEnd"/>
            <w:r w:rsidR="00564475">
              <w:rPr>
                <w:rFonts w:ascii="Aptos" w:hAnsi="Aptos" w:cs="Arial"/>
                <w:i/>
                <w:iCs/>
                <w:sz w:val="20"/>
                <w:szCs w:val="20"/>
              </w:rPr>
              <w:t>”</w:t>
            </w:r>
            <w:r w:rsidR="006A002F" w:rsidRPr="00373798">
              <w:rPr>
                <w:rFonts w:ascii="Aptos" w:hAnsi="Aptos" w:cs="Arial"/>
                <w:sz w:val="20"/>
                <w:szCs w:val="20"/>
              </w:rPr>
              <w:t>.</w:t>
            </w:r>
            <w:r w:rsidRPr="00373798">
              <w:rPr>
                <w:rFonts w:ascii="Aptos" w:hAnsi="Aptos" w:cs="Arial"/>
                <w:sz w:val="20"/>
                <w:szCs w:val="20"/>
              </w:rPr>
              <w:t xml:space="preserve"> This species would comprise eleven </w:t>
            </w:r>
            <w:r w:rsidR="00736436">
              <w:rPr>
                <w:rFonts w:ascii="Aptos" w:hAnsi="Aptos" w:cs="Arial"/>
                <w:sz w:val="20"/>
                <w:szCs w:val="20"/>
              </w:rPr>
              <w:t>subspecies</w:t>
            </w:r>
            <w:r w:rsidR="00736436" w:rsidRPr="00373798">
              <w:rPr>
                <w:rFonts w:ascii="Aptos" w:hAnsi="Aptos" w:cs="Arial"/>
                <w:sz w:val="20"/>
                <w:szCs w:val="20"/>
              </w:rPr>
              <w:t xml:space="preserve"> </w:t>
            </w:r>
            <w:r w:rsidRPr="00373798">
              <w:rPr>
                <w:rFonts w:ascii="Aptos" w:hAnsi="Aptos" w:cs="Arial"/>
                <w:sz w:val="20"/>
                <w:szCs w:val="20"/>
              </w:rPr>
              <w:t>delimited by a uniform 10% nucleotide sequence cut-off over the whole ORF: seven TBEV subtypes (Eur, Sib, FE, Bkl-1, Bkl-2, Ob, Him), LIV/SSEV/SGEV, TSEV/GGEV and two OHFV subtypes (OHFV-1 and OHFV-2).</w:t>
            </w:r>
          </w:p>
          <w:p w14:paraId="10F35FF6" w14:textId="77777777" w:rsidR="00672B64" w:rsidRPr="00373798" w:rsidRDefault="00672B64" w:rsidP="00672B64">
            <w:pPr>
              <w:rPr>
                <w:rFonts w:ascii="Aptos" w:hAnsi="Aptos" w:cs="Arial"/>
                <w:sz w:val="20"/>
                <w:szCs w:val="20"/>
              </w:rPr>
            </w:pPr>
          </w:p>
          <w:p w14:paraId="63B50B26" w14:textId="77777777" w:rsidR="00672B64" w:rsidRPr="00373798" w:rsidRDefault="00672B64" w:rsidP="00672B64">
            <w:pPr>
              <w:rPr>
                <w:rFonts w:ascii="Aptos" w:hAnsi="Aptos" w:cs="Arial"/>
                <w:i/>
                <w:iCs/>
                <w:sz w:val="20"/>
                <w:szCs w:val="20"/>
              </w:rPr>
            </w:pPr>
            <w:r w:rsidRPr="00373798">
              <w:rPr>
                <w:rFonts w:ascii="Aptos" w:hAnsi="Aptos" w:cs="Arial"/>
                <w:i/>
                <w:iCs/>
                <w:sz w:val="20"/>
                <w:szCs w:val="20"/>
              </w:rPr>
              <w:t>Demarcation criteria for new taxon/taxa:</w:t>
            </w:r>
          </w:p>
          <w:p w14:paraId="3379A625" w14:textId="641815AA" w:rsidR="00672B64" w:rsidRPr="00373798" w:rsidRDefault="00672B64" w:rsidP="00672B64">
            <w:pPr>
              <w:rPr>
                <w:rFonts w:ascii="Aptos" w:hAnsi="Aptos" w:cs="Arial"/>
                <w:sz w:val="20"/>
                <w:szCs w:val="20"/>
              </w:rPr>
            </w:pPr>
            <w:r w:rsidRPr="00373798">
              <w:rPr>
                <w:rFonts w:ascii="Aptos" w:hAnsi="Aptos" w:cs="Arial"/>
                <w:sz w:val="20"/>
                <w:szCs w:val="20"/>
              </w:rPr>
              <w:t>The classification of</w:t>
            </w:r>
            <w:r w:rsidR="008C1AC1" w:rsidRPr="00923D4C">
              <w:rPr>
                <w:rFonts w:ascii="Aptos" w:hAnsi="Aptos" w:cs="Arial"/>
                <w:sz w:val="20"/>
                <w:szCs w:val="20"/>
              </w:rPr>
              <w:t xml:space="preserve"> </w:t>
            </w:r>
            <w:r w:rsidR="008C1AC1">
              <w:rPr>
                <w:rFonts w:ascii="Aptos" w:hAnsi="Aptos" w:cs="Arial"/>
                <w:sz w:val="20"/>
                <w:szCs w:val="20"/>
              </w:rPr>
              <w:t>a</w:t>
            </w:r>
            <w:r w:rsidRPr="00373798">
              <w:rPr>
                <w:rFonts w:ascii="Aptos" w:hAnsi="Aptos" w:cs="Arial"/>
                <w:sz w:val="20"/>
                <w:szCs w:val="20"/>
              </w:rPr>
              <w:t xml:space="preserve"> virus as belonging to </w:t>
            </w:r>
            <w:r w:rsidR="00564475">
              <w:rPr>
                <w:rFonts w:ascii="Aptos" w:hAnsi="Aptos" w:cs="Arial"/>
                <w:sz w:val="20"/>
                <w:szCs w:val="20"/>
              </w:rPr>
              <w:t>“</w:t>
            </w:r>
            <w:r w:rsidRPr="00875F68">
              <w:rPr>
                <w:rFonts w:ascii="Aptos" w:hAnsi="Aptos" w:cs="Arial"/>
                <w:i/>
                <w:iCs/>
                <w:sz w:val="20"/>
                <w:szCs w:val="20"/>
              </w:rPr>
              <w:t xml:space="preserve">Orthoflavivirus </w:t>
            </w:r>
            <w:proofErr w:type="spellStart"/>
            <w:r w:rsidRPr="00875F68">
              <w:rPr>
                <w:rFonts w:ascii="Aptos" w:hAnsi="Aptos" w:cs="Arial"/>
                <w:i/>
                <w:iCs/>
                <w:sz w:val="20"/>
                <w:szCs w:val="20"/>
              </w:rPr>
              <w:t>eurasiaticus</w:t>
            </w:r>
            <w:proofErr w:type="spellEnd"/>
            <w:r w:rsidR="00564475">
              <w:rPr>
                <w:rFonts w:ascii="Aptos" w:hAnsi="Aptos" w:cs="Arial"/>
                <w:i/>
                <w:iCs/>
                <w:sz w:val="20"/>
                <w:szCs w:val="20"/>
              </w:rPr>
              <w:t>”</w:t>
            </w:r>
            <w:r w:rsidRPr="00373798">
              <w:rPr>
                <w:rFonts w:ascii="Aptos" w:hAnsi="Aptos" w:cs="Arial"/>
                <w:sz w:val="20"/>
                <w:szCs w:val="20"/>
              </w:rPr>
              <w:t xml:space="preserve"> is determined by </w:t>
            </w:r>
            <w:r w:rsidR="00B47E3F">
              <w:rPr>
                <w:rFonts w:ascii="Aptos" w:hAnsi="Aptos" w:cs="Arial"/>
                <w:sz w:val="20"/>
                <w:szCs w:val="20"/>
              </w:rPr>
              <w:t>an</w:t>
            </w:r>
            <w:r w:rsidR="008C1AC1" w:rsidRPr="00373798">
              <w:rPr>
                <w:rFonts w:ascii="Aptos" w:hAnsi="Aptos" w:cs="Arial"/>
                <w:sz w:val="20"/>
                <w:szCs w:val="20"/>
              </w:rPr>
              <w:t xml:space="preserve"> </w:t>
            </w:r>
            <w:r w:rsidRPr="00373798">
              <w:rPr>
                <w:rFonts w:ascii="Aptos" w:hAnsi="Aptos" w:cs="Arial"/>
                <w:sz w:val="20"/>
                <w:szCs w:val="20"/>
              </w:rPr>
              <w:t xml:space="preserve">uncorrected nucleotide </w:t>
            </w:r>
            <w:r w:rsidR="00B47E3F">
              <w:rPr>
                <w:rFonts w:ascii="Aptos" w:hAnsi="Aptos" w:cs="Arial"/>
                <w:sz w:val="20"/>
                <w:szCs w:val="20"/>
              </w:rPr>
              <w:t>distance</w:t>
            </w:r>
            <w:r w:rsidR="00B47E3F" w:rsidRPr="00373798">
              <w:rPr>
                <w:rFonts w:ascii="Aptos" w:hAnsi="Aptos" w:cs="Arial"/>
                <w:sz w:val="20"/>
                <w:szCs w:val="20"/>
              </w:rPr>
              <w:t xml:space="preserve"> </w:t>
            </w:r>
            <w:r w:rsidRPr="00373798">
              <w:rPr>
                <w:rFonts w:ascii="Aptos" w:hAnsi="Aptos" w:cs="Arial"/>
                <w:sz w:val="20"/>
                <w:szCs w:val="20"/>
              </w:rPr>
              <w:t xml:space="preserve">below 23%, </w:t>
            </w:r>
            <w:proofErr w:type="gramStart"/>
            <w:r w:rsidRPr="00373798">
              <w:rPr>
                <w:rFonts w:ascii="Aptos" w:hAnsi="Aptos" w:cs="Arial"/>
                <w:sz w:val="20"/>
                <w:szCs w:val="20"/>
              </w:rPr>
              <w:t xml:space="preserve">and </w:t>
            </w:r>
            <w:r w:rsidR="008C1AC1" w:rsidRPr="00373798">
              <w:rPr>
                <w:rFonts w:ascii="Aptos" w:hAnsi="Aptos" w:cs="Arial"/>
                <w:sz w:val="20"/>
                <w:szCs w:val="20"/>
              </w:rPr>
              <w:t xml:space="preserve"> </w:t>
            </w:r>
            <w:r w:rsidRPr="00373798">
              <w:rPr>
                <w:rFonts w:ascii="Aptos" w:hAnsi="Aptos" w:cs="Arial"/>
                <w:sz w:val="20"/>
                <w:szCs w:val="20"/>
              </w:rPr>
              <w:t>uncorrected</w:t>
            </w:r>
            <w:proofErr w:type="gramEnd"/>
            <w:r w:rsidRPr="00373798">
              <w:rPr>
                <w:rFonts w:ascii="Aptos" w:hAnsi="Aptos" w:cs="Arial"/>
                <w:sz w:val="20"/>
                <w:szCs w:val="20"/>
              </w:rPr>
              <w:t xml:space="preserve"> amino acid </w:t>
            </w:r>
            <w:r w:rsidR="00B47E3F">
              <w:rPr>
                <w:rFonts w:ascii="Aptos" w:hAnsi="Aptos" w:cs="Arial"/>
                <w:sz w:val="20"/>
                <w:szCs w:val="20"/>
              </w:rPr>
              <w:t>distance</w:t>
            </w:r>
            <w:r w:rsidR="00B47E3F" w:rsidRPr="00373798">
              <w:rPr>
                <w:rFonts w:ascii="Aptos" w:hAnsi="Aptos" w:cs="Arial"/>
                <w:sz w:val="20"/>
                <w:szCs w:val="20"/>
              </w:rPr>
              <w:t xml:space="preserve"> </w:t>
            </w:r>
            <w:r w:rsidRPr="00373798">
              <w:rPr>
                <w:rFonts w:ascii="Aptos" w:hAnsi="Aptos" w:cs="Arial"/>
                <w:sz w:val="20"/>
                <w:szCs w:val="20"/>
              </w:rPr>
              <w:t>below 1</w:t>
            </w:r>
            <w:r w:rsidR="00FE4AC7" w:rsidRPr="00373798">
              <w:rPr>
                <w:rFonts w:ascii="Aptos" w:hAnsi="Aptos" w:cs="Arial"/>
                <w:sz w:val="20"/>
                <w:szCs w:val="20"/>
              </w:rPr>
              <w:t>4</w:t>
            </w:r>
            <w:r w:rsidRPr="00373798">
              <w:rPr>
                <w:rFonts w:ascii="Aptos" w:hAnsi="Aptos" w:cs="Arial"/>
                <w:sz w:val="20"/>
                <w:szCs w:val="20"/>
              </w:rPr>
              <w:t>%. The proposed framework maintains monophyly in this group of viruses. Moreover, this division is consistent with the remaining ICTV criteria (antigenic, clinical, geographic, vector/host, and ecological) when considered collectively.</w:t>
            </w:r>
          </w:p>
          <w:p w14:paraId="5CE79E26" w14:textId="77777777" w:rsidR="00672B64" w:rsidRPr="00373798" w:rsidRDefault="00672B64" w:rsidP="00672B64">
            <w:pPr>
              <w:rPr>
                <w:rFonts w:ascii="Aptos" w:hAnsi="Aptos" w:cs="Arial"/>
                <w:sz w:val="20"/>
                <w:szCs w:val="20"/>
              </w:rPr>
            </w:pPr>
          </w:p>
          <w:p w14:paraId="3CAB074C" w14:textId="77777777" w:rsidR="00672B64" w:rsidRPr="00373798" w:rsidRDefault="00672B64" w:rsidP="00672B64">
            <w:pPr>
              <w:rPr>
                <w:rFonts w:ascii="Aptos" w:hAnsi="Aptos" w:cs="Arial"/>
                <w:i/>
                <w:iCs/>
                <w:sz w:val="20"/>
                <w:szCs w:val="20"/>
              </w:rPr>
            </w:pPr>
            <w:r w:rsidRPr="00373798">
              <w:rPr>
                <w:rFonts w:ascii="Aptos" w:hAnsi="Aptos" w:cs="Arial"/>
                <w:i/>
                <w:iCs/>
                <w:sz w:val="20"/>
                <w:szCs w:val="20"/>
              </w:rPr>
              <w:t>Justification:</w:t>
            </w:r>
          </w:p>
          <w:p w14:paraId="4FD7E42A" w14:textId="0B040921" w:rsidR="00A77B8E" w:rsidRPr="00373798" w:rsidRDefault="00672B64" w:rsidP="00672B64">
            <w:pPr>
              <w:rPr>
                <w:rFonts w:ascii="Aptos" w:hAnsi="Aptos" w:cs="Arial"/>
                <w:b/>
                <w:i/>
                <w:sz w:val="20"/>
                <w:szCs w:val="20"/>
              </w:rPr>
            </w:pPr>
            <w:r w:rsidRPr="00373798">
              <w:rPr>
                <w:rFonts w:ascii="Aptos" w:hAnsi="Aptos" w:cs="Arial"/>
                <w:sz w:val="20"/>
                <w:szCs w:val="20"/>
              </w:rPr>
              <w:t>Whilst acknowledging the recent ratification, several issues warrant reconsideration. Delimitation methods (GMYC, ABGD, PTP) were applied inconsistently; cross</w:t>
            </w:r>
            <w:r w:rsidRPr="00373798">
              <w:rPr>
                <w:rFonts w:ascii="Cambria Math" w:hAnsi="Cambria Math" w:cs="Cambria Math"/>
                <w:sz w:val="20"/>
                <w:szCs w:val="20"/>
              </w:rPr>
              <w:t>‑</w:t>
            </w:r>
            <w:proofErr w:type="spellStart"/>
            <w:r w:rsidRPr="00373798">
              <w:rPr>
                <w:rFonts w:ascii="Aptos" w:hAnsi="Aptos" w:cs="Arial"/>
                <w:sz w:val="20"/>
                <w:szCs w:val="20"/>
              </w:rPr>
              <w:t>neutralisation</w:t>
            </w:r>
            <w:proofErr w:type="spellEnd"/>
            <w:r w:rsidRPr="00373798">
              <w:rPr>
                <w:rFonts w:ascii="Aptos" w:hAnsi="Aptos" w:cs="Arial"/>
                <w:sz w:val="20"/>
                <w:szCs w:val="20"/>
              </w:rPr>
              <w:t xml:space="preserve"> data indicating substantial antigenic overlap are not discussed in the proposal; the TBE vaccine protects across all proposed species, which is exceptional</w:t>
            </w:r>
            <w:r w:rsidR="00B47E3F">
              <w:rPr>
                <w:rFonts w:ascii="Aptos" w:hAnsi="Aptos" w:cs="Arial"/>
                <w:sz w:val="20"/>
                <w:szCs w:val="20"/>
              </w:rPr>
              <w:t xml:space="preserve"> among the established virus species;</w:t>
            </w:r>
            <w:r w:rsidR="00B47E3F" w:rsidRPr="00373798">
              <w:rPr>
                <w:rFonts w:ascii="Aptos" w:hAnsi="Aptos" w:cs="Arial"/>
                <w:sz w:val="20"/>
                <w:szCs w:val="20"/>
              </w:rPr>
              <w:t xml:space="preserve"> cited clinical severity differences may reflect historical surveillance bias</w:t>
            </w:r>
            <w:r w:rsidRPr="00373798">
              <w:rPr>
                <w:rFonts w:ascii="Aptos" w:hAnsi="Aptos" w:cs="Arial"/>
                <w:sz w:val="20"/>
                <w:szCs w:val="20"/>
              </w:rPr>
              <w:t>. Our single</w:t>
            </w:r>
            <w:r w:rsidRPr="00373798">
              <w:rPr>
                <w:rFonts w:ascii="Cambria Math" w:hAnsi="Cambria Math" w:cs="Cambria Math"/>
                <w:sz w:val="20"/>
                <w:szCs w:val="20"/>
              </w:rPr>
              <w:t>‑</w:t>
            </w:r>
            <w:r w:rsidRPr="00373798">
              <w:rPr>
                <w:rFonts w:ascii="Aptos" w:hAnsi="Aptos" w:cs="Arial"/>
                <w:sz w:val="20"/>
                <w:szCs w:val="20"/>
              </w:rPr>
              <w:t>species framework maintains monophyly and avoids unnecessary taxonomic inflation.</w:t>
            </w:r>
          </w:p>
          <w:p w14:paraId="18507DF4" w14:textId="7F3BC6DC" w:rsidR="00FC2269" w:rsidRPr="00373798" w:rsidRDefault="00FC2269" w:rsidP="00D31209">
            <w:pPr>
              <w:rPr>
                <w:rFonts w:ascii="Aptos" w:hAnsi="Aptos" w:cs="Arial"/>
                <w:color w:val="0000FF"/>
                <w:sz w:val="20"/>
                <w:szCs w:val="20"/>
              </w:rPr>
            </w:pPr>
          </w:p>
        </w:tc>
      </w:tr>
    </w:tbl>
    <w:p w14:paraId="0993B49E" w14:textId="0284C85D" w:rsidR="00A77B8E" w:rsidRPr="00373798"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RPr="00373798" w14:paraId="059893BA" w14:textId="77777777" w:rsidTr="00683D0C">
        <w:tc>
          <w:tcPr>
            <w:tcW w:w="8926" w:type="dxa"/>
            <w:shd w:val="clear" w:color="auto" w:fill="F2F2F2" w:themeFill="background1" w:themeFillShade="F2"/>
          </w:tcPr>
          <w:p w14:paraId="00CD2219" w14:textId="0C0F3A00" w:rsidR="00883A5C" w:rsidRPr="00373798" w:rsidRDefault="00A77B8E" w:rsidP="00DD58AA">
            <w:pPr>
              <w:pStyle w:val="BodyTextIndent"/>
              <w:numPr>
                <w:ilvl w:val="0"/>
                <w:numId w:val="3"/>
              </w:numPr>
              <w:rPr>
                <w:rFonts w:ascii="Aptos" w:hAnsi="Aptos" w:cs="Arial"/>
                <w:color w:val="0000FF"/>
                <w:sz w:val="20"/>
              </w:rPr>
            </w:pPr>
            <w:r w:rsidRPr="00373798">
              <w:rPr>
                <w:rFonts w:ascii="Aptos" w:hAnsi="Aptos" w:cs="Arial"/>
                <w:b/>
                <w:color w:val="000000"/>
                <w:sz w:val="20"/>
              </w:rPr>
              <w:t>Text of Taxonomy proposal</w:t>
            </w:r>
            <w:r w:rsidR="006C0F51" w:rsidRPr="00373798">
              <w:rPr>
                <w:rFonts w:ascii="Aptos" w:hAnsi="Aptos" w:cs="Arial"/>
                <w:b/>
                <w:color w:val="000000"/>
                <w:sz w:val="20"/>
              </w:rPr>
              <w:t>:</w:t>
            </w:r>
            <w:r w:rsidRPr="00373798">
              <w:rPr>
                <w:rFonts w:ascii="Aptos" w:hAnsi="Aptos" w:cs="Arial"/>
                <w:b/>
                <w:color w:val="000000"/>
                <w:sz w:val="20"/>
              </w:rPr>
              <w:t xml:space="preserve">  </w:t>
            </w:r>
          </w:p>
          <w:p w14:paraId="4ECF6668" w14:textId="3F30CB05" w:rsidR="00A77B8E" w:rsidRPr="00373798" w:rsidRDefault="00A77B8E" w:rsidP="00883A5C">
            <w:pPr>
              <w:pStyle w:val="BodyTextIndent"/>
              <w:ind w:left="720" w:firstLine="0"/>
              <w:rPr>
                <w:rFonts w:ascii="Aptos" w:hAnsi="Aptos" w:cs="Arial"/>
                <w:color w:val="0000FF"/>
                <w:sz w:val="20"/>
              </w:rPr>
            </w:pPr>
          </w:p>
        </w:tc>
      </w:tr>
      <w:tr w:rsidR="00A77B8E" w:rsidRPr="00373798" w14:paraId="1E86E5C0" w14:textId="77777777" w:rsidTr="00A77B8E">
        <w:tc>
          <w:tcPr>
            <w:tcW w:w="8926" w:type="dxa"/>
          </w:tcPr>
          <w:p w14:paraId="49680848" w14:textId="77777777" w:rsidR="00A77B8E" w:rsidRPr="00373798" w:rsidRDefault="00A77B8E" w:rsidP="00DD58AA">
            <w:pPr>
              <w:rPr>
                <w:rFonts w:ascii="Aptos" w:hAnsi="Aptos" w:cs="Arial"/>
                <w:b/>
                <w:i/>
                <w:sz w:val="20"/>
                <w:szCs w:val="20"/>
              </w:rPr>
            </w:pPr>
          </w:p>
          <w:p w14:paraId="3CFC08CF" w14:textId="77777777" w:rsidR="00A77B8E" w:rsidRPr="00373798" w:rsidRDefault="00A77B8E" w:rsidP="00DD58AA">
            <w:pPr>
              <w:rPr>
                <w:rFonts w:ascii="Aptos" w:hAnsi="Aptos" w:cs="Arial"/>
                <w:sz w:val="20"/>
                <w:szCs w:val="20"/>
              </w:rPr>
            </w:pPr>
            <w:r w:rsidRPr="00373798">
              <w:rPr>
                <w:rFonts w:ascii="Aptos" w:hAnsi="Aptos" w:cs="Arial"/>
                <w:i/>
                <w:sz w:val="20"/>
                <w:szCs w:val="20"/>
              </w:rPr>
              <w:t>Description of current taxonomy</w:t>
            </w:r>
            <w:r w:rsidRPr="00373798">
              <w:rPr>
                <w:rFonts w:ascii="Aptos" w:hAnsi="Aptos" w:cs="Arial"/>
                <w:sz w:val="20"/>
                <w:szCs w:val="20"/>
              </w:rPr>
              <w:t xml:space="preserve">:       </w:t>
            </w:r>
          </w:p>
          <w:p w14:paraId="2BEAC398" w14:textId="0808B4AD" w:rsidR="00A77B8E" w:rsidRPr="00373798" w:rsidRDefault="00A77B8E" w:rsidP="00DD58AA">
            <w:pPr>
              <w:rPr>
                <w:rFonts w:ascii="Aptos" w:hAnsi="Aptos" w:cs="Arial"/>
                <w:sz w:val="20"/>
                <w:szCs w:val="20"/>
              </w:rPr>
            </w:pPr>
          </w:p>
          <w:p w14:paraId="4F95C30E" w14:textId="7FB799C8" w:rsidR="00096092" w:rsidRPr="00373798" w:rsidRDefault="000D5660" w:rsidP="00096092">
            <w:pPr>
              <w:rPr>
                <w:rFonts w:ascii="Aptos" w:hAnsi="Aptos" w:cs="Arial"/>
                <w:sz w:val="20"/>
                <w:szCs w:val="20"/>
              </w:rPr>
            </w:pPr>
            <w:r w:rsidRPr="000D5660">
              <w:rPr>
                <w:rFonts w:ascii="Aptos" w:hAnsi="Aptos" w:cs="Arial"/>
                <w:sz w:val="20"/>
                <w:szCs w:val="20"/>
              </w:rPr>
              <w:t xml:space="preserve">The classification of tick-borne flaviviruses (genus </w:t>
            </w:r>
            <w:r w:rsidRPr="000D5660">
              <w:rPr>
                <w:rFonts w:ascii="Aptos" w:hAnsi="Aptos" w:cs="Arial"/>
                <w:i/>
                <w:iCs/>
                <w:sz w:val="20"/>
                <w:szCs w:val="20"/>
              </w:rPr>
              <w:t>Orthoflavivirus</w:t>
            </w:r>
            <w:r w:rsidRPr="000D5660">
              <w:rPr>
                <w:rFonts w:ascii="Aptos" w:hAnsi="Aptos" w:cs="Arial"/>
                <w:sz w:val="20"/>
                <w:szCs w:val="20"/>
              </w:rPr>
              <w:t xml:space="preserve">, family </w:t>
            </w:r>
            <w:r w:rsidRPr="000D5660">
              <w:rPr>
                <w:rFonts w:ascii="Aptos" w:hAnsi="Aptos" w:cs="Arial"/>
                <w:i/>
                <w:iCs/>
                <w:sz w:val="20"/>
                <w:szCs w:val="20"/>
              </w:rPr>
              <w:t>Flaviviridae</w:t>
            </w:r>
            <w:r w:rsidRPr="000D5660">
              <w:rPr>
                <w:rFonts w:ascii="Aptos" w:hAnsi="Aptos" w:cs="Arial"/>
                <w:sz w:val="20"/>
                <w:szCs w:val="20"/>
              </w:rPr>
              <w:t xml:space="preserve">) has undergone numerous revisions over time. </w:t>
            </w:r>
            <w:r w:rsidR="00E229A9" w:rsidRPr="00373798">
              <w:rPr>
                <w:rFonts w:ascii="Aptos" w:hAnsi="Aptos" w:cs="Arial"/>
                <w:sz w:val="20"/>
                <w:szCs w:val="20"/>
              </w:rPr>
              <w:t xml:space="preserve">Until recently, all known TBEV subtypes were placed within a single species, </w:t>
            </w:r>
            <w:r w:rsidR="00E229A9" w:rsidRPr="000D5660">
              <w:rPr>
                <w:rFonts w:ascii="Aptos" w:hAnsi="Aptos" w:cs="Arial"/>
                <w:i/>
                <w:iCs/>
                <w:sz w:val="20"/>
                <w:szCs w:val="20"/>
              </w:rPr>
              <w:t xml:space="preserve">Orthoflavivirus </w:t>
            </w:r>
            <w:proofErr w:type="spellStart"/>
            <w:r w:rsidR="00E229A9" w:rsidRPr="000D5660">
              <w:rPr>
                <w:rFonts w:ascii="Aptos" w:hAnsi="Aptos" w:cs="Arial"/>
                <w:i/>
                <w:iCs/>
                <w:sz w:val="20"/>
                <w:szCs w:val="20"/>
              </w:rPr>
              <w:t>encephalitidis</w:t>
            </w:r>
            <w:proofErr w:type="spellEnd"/>
            <w:r w:rsidR="00E229A9" w:rsidRPr="00373798">
              <w:rPr>
                <w:rFonts w:ascii="Aptos" w:hAnsi="Aptos" w:cs="Arial"/>
                <w:sz w:val="20"/>
                <w:szCs w:val="20"/>
              </w:rPr>
              <w:t>.</w:t>
            </w:r>
            <w:r w:rsidR="00A22B5A" w:rsidRPr="00373798">
              <w:rPr>
                <w:rFonts w:ascii="Aptos" w:hAnsi="Aptos" w:cs="Arial"/>
                <w:sz w:val="20"/>
                <w:szCs w:val="20"/>
              </w:rPr>
              <w:t xml:space="preserve"> According to quantitative criteria, seven subtypes were tentatively listed under that species </w:t>
            </w:r>
            <w:r w:rsidR="00A22B5A" w:rsidRPr="00373798">
              <w:rPr>
                <w:rFonts w:ascii="Aptos" w:hAnsi="Aptos" w:cs="Arial"/>
                <w:sz w:val="20"/>
                <w:szCs w:val="20"/>
              </w:rPr>
              <w:fldChar w:fldCharType="begin" w:fldLock="1"/>
            </w:r>
            <w:r w:rsidR="00A22B5A" w:rsidRPr="00373798">
              <w:rPr>
                <w:rFonts w:ascii="Aptos" w:hAnsi="Aptos" w:cs="Arial"/>
                <w:sz w:val="20"/>
                <w:szCs w:val="20"/>
              </w:rPr>
              <w:instrText>ADDIN CSL_CITATION {"citationItems":[{"id":"ITEM-1","itemData":{"DOI":"10.3390/v12111240","ISSN":"1999-4915","abstract":"Currently, the lowest formal taxon in virus classification is species; however, unofficial lower-level units are commonly used in everyday work. Tick-borne encephalitis virus (TBEV) is a species of mammalian tick-borne flaviviruses that may cause encephalitis. Many known representatives of TBEV are grouped into subtypes, mostly according to their phylogenetic relationship. However, the emergence of novel sequences could dissolve this phylogenetic grouping; in the absence of strict quantitative criterion, it may be hard to define the borders of the first TBEV taxonomic unit below the species level. In this study, the nucleotide/amino-acid space of all known TBEV sequences was analyzed. Amino-acid sequence p-distances could not reliably distinguish TBEV subtypes. Viruses that differed by less than 10% of nucleotides in the polyprotein-coding gene belonged to the same subtype. At the same time, more divergent viruses were representatives of different subtypes. According to this distance criterion, TBEV species may be divided into seven subtypes: TBEV-Eur, TBEV-Sib, TBEV-FE, TBEV-2871 (TBEV-Ob), TBEV-Him, TBEV-178-79 (TBEV-Bkl-1), and TBEV-886-84 (TBEV-Bkl-2).","author":[{"dropping-particle":"","family":"Deviatkin","given":"Andrei A","non-dropping-particle":"","parse-names":false,"suffix":""},{"dropping-particle":"","family":"Karganova","given":"Galina G","non-dropping-particle":"","parse-names":false,"suffix":""},{"dropping-particle":"","family":"Vakulenko","given":"Yulia A","non-dropping-particle":"","parse-names":false,"suffix":""},{"dropping-particle":"","family":"Lukashev","given":"Alexander N","non-dropping-particle":"","parse-names":false,"suffix":""}],"container-title":"Viruses","id":"ITEM-1","issue":"11","issued":{"date-parts":[["2020","10","31"]]},"page":"1240","title":"TBEV Subtyping in Terms of Genetic Distance","type":"article-journal","volume":"12"},"uris":["http://www.mendeley.com/documents/?uuid=68091133-109e-4f73-80be-ae81459fdc4b"]}],"mendeley":{"formattedCitation":"[1]","plainTextFormattedCitation":"[1]","previouslyFormattedCitation":"[1]"},"properties":{"noteIndex":0},"schema":"https://github.com/citation-style-language/schema/raw/master/csl-citation.json"}</w:instrText>
            </w:r>
            <w:r w:rsidR="00A22B5A" w:rsidRPr="00373798">
              <w:rPr>
                <w:rFonts w:ascii="Aptos" w:hAnsi="Aptos" w:cs="Arial"/>
                <w:sz w:val="20"/>
                <w:szCs w:val="20"/>
              </w:rPr>
              <w:fldChar w:fldCharType="separate"/>
            </w:r>
            <w:r w:rsidR="00A22B5A" w:rsidRPr="00373798">
              <w:rPr>
                <w:rFonts w:ascii="Aptos" w:hAnsi="Aptos" w:cs="Arial"/>
                <w:noProof/>
                <w:sz w:val="20"/>
                <w:szCs w:val="20"/>
              </w:rPr>
              <w:t>[1]</w:t>
            </w:r>
            <w:r w:rsidR="00A22B5A" w:rsidRPr="00373798">
              <w:rPr>
                <w:rFonts w:ascii="Aptos" w:hAnsi="Aptos" w:cs="Arial"/>
                <w:sz w:val="20"/>
                <w:szCs w:val="20"/>
              </w:rPr>
              <w:fldChar w:fldCharType="end"/>
            </w:r>
            <w:r w:rsidR="00A22B5A" w:rsidRPr="00373798">
              <w:rPr>
                <w:rFonts w:ascii="Aptos" w:hAnsi="Aptos" w:cs="Arial"/>
                <w:sz w:val="20"/>
                <w:szCs w:val="20"/>
              </w:rPr>
              <w:t xml:space="preserve">. Three subtypes </w:t>
            </w:r>
            <w:r w:rsidR="00A22B5A" w:rsidRPr="00373798">
              <w:rPr>
                <w:rFonts w:ascii="Aptos" w:hAnsi="Aptos" w:cs="Arial"/>
                <w:sz w:val="20"/>
                <w:szCs w:val="20"/>
              </w:rPr>
              <w:fldChar w:fldCharType="begin" w:fldLock="1"/>
            </w:r>
            <w:r w:rsidR="00A22B5A" w:rsidRPr="00373798">
              <w:rPr>
                <w:rFonts w:ascii="Aptos" w:hAnsi="Aptos" w:cs="Arial"/>
                <w:sz w:val="20"/>
                <w:szCs w:val="20"/>
              </w:rPr>
              <w:instrText>ADDIN CSL_CITATION {"citationItems":[{"id":"ITEM-1","itemData":{"DOI":"10.1099/0022-1317-80-1-179","ISBN":"0022-1317 (Print)\\r0022-1317 (Linking)","ISSN":"0022-1317","PMID":"9934700","abstract":"The epidemiology of tick-borne encephalitis virus was investigated by comparative sequence analysis of virus strains isolated in endemic areas of Europe and Asia. Phylogenetic relationships were determined from the nucleotide and amino acid sequences of the major envelope (E) protein of 16 newly sequenced strains and nine previously published sequences. Three genetic lineages could be clearly distinguished, corresponding to a European, a Far Eastern and a Siberian subtype. Amino acids characteristic for each of the subtypes ('signature' amino a cids) were identified and their location in the atomic structure of protein E was determined. The degree of variation between strains within subtypes was low and exhibited a maximum of only 2.2% at the amino acid level. A maximum difference of 5.6% was found between the three subtypes, which is in the range of variation reported for other flaviviruses.","author":[{"dropping-particle":"","family":"Ecker","given":"Michael","non-dropping-particle":"","parse-names":false,"suffix":""},{"dropping-particle":"","family":"Allison","given":"Steven L","non-dropping-particle":"","parse-names":false,"suffix":""},{"dropping-particle":"","family":"Meixner","given":"Tamara","non-dropping-particle":"","parse-names":false,"suffix":""},{"dropping-particle":"","family":"Heinz","given":"Franz X","non-dropping-particle":"","parse-names":false,"suffix":""}],"container-title":"Journal of General Virology","id":"ITEM-1","issue":"1","issued":{"date-parts":[["1999","1","1"]]},"page":"179-185","title":"Sequence analysis and genetic classification of tick-borne encephalitis viruses from Europe and Asia.","type":"article-journal","volume":"80"},"uris":["http://www.mendeley.com/documents/?uuid=e9e0bf94-6f36-4713-a59c-458c22cc63b9"]}],"mendeley":{"formattedCitation":"[2]","plainTextFormattedCitation":"[2]","previouslyFormattedCitation":"[2]"},"properties":{"noteIndex":0},"schema":"https://github.com/citation-style-language/schema/raw/master/csl-citation.json"}</w:instrText>
            </w:r>
            <w:r w:rsidR="00A22B5A" w:rsidRPr="00373798">
              <w:rPr>
                <w:rFonts w:ascii="Aptos" w:hAnsi="Aptos" w:cs="Arial"/>
                <w:sz w:val="20"/>
                <w:szCs w:val="20"/>
              </w:rPr>
              <w:fldChar w:fldCharType="separate"/>
            </w:r>
            <w:r w:rsidR="00A22B5A" w:rsidRPr="00373798">
              <w:rPr>
                <w:rFonts w:ascii="Aptos" w:hAnsi="Aptos" w:cs="Arial"/>
                <w:noProof/>
                <w:sz w:val="20"/>
                <w:szCs w:val="20"/>
              </w:rPr>
              <w:t>[2]</w:t>
            </w:r>
            <w:r w:rsidR="00A22B5A" w:rsidRPr="00373798">
              <w:rPr>
                <w:rFonts w:ascii="Aptos" w:hAnsi="Aptos" w:cs="Arial"/>
                <w:sz w:val="20"/>
                <w:szCs w:val="20"/>
              </w:rPr>
              <w:fldChar w:fldCharType="end"/>
            </w:r>
            <w:r w:rsidR="00A22B5A" w:rsidRPr="00373798">
              <w:rPr>
                <w:rFonts w:ascii="Aptos" w:hAnsi="Aptos" w:cs="Arial"/>
                <w:sz w:val="20"/>
                <w:szCs w:val="20"/>
              </w:rPr>
              <w:t>, European (TBEV</w:t>
            </w:r>
            <w:r w:rsidR="00A22B5A" w:rsidRPr="00373798">
              <w:rPr>
                <w:rFonts w:ascii="Cambria Math" w:hAnsi="Cambria Math" w:cs="Cambria Math"/>
                <w:sz w:val="20"/>
                <w:szCs w:val="20"/>
              </w:rPr>
              <w:t>‑</w:t>
            </w:r>
            <w:r w:rsidR="00A22B5A" w:rsidRPr="00373798">
              <w:rPr>
                <w:rFonts w:ascii="Aptos" w:hAnsi="Aptos" w:cs="Arial"/>
                <w:sz w:val="20"/>
                <w:szCs w:val="20"/>
              </w:rPr>
              <w:t>Eur), Siberian (TBEV</w:t>
            </w:r>
            <w:r w:rsidR="00A22B5A" w:rsidRPr="00373798">
              <w:rPr>
                <w:rFonts w:ascii="Cambria Math" w:hAnsi="Cambria Math" w:cs="Cambria Math"/>
                <w:sz w:val="20"/>
                <w:szCs w:val="20"/>
              </w:rPr>
              <w:t>‑</w:t>
            </w:r>
            <w:r w:rsidR="00A22B5A" w:rsidRPr="00373798">
              <w:rPr>
                <w:rFonts w:ascii="Aptos" w:hAnsi="Aptos" w:cs="Arial"/>
                <w:sz w:val="20"/>
                <w:szCs w:val="20"/>
              </w:rPr>
              <w:t>Sib) and Far Eastern (TBEV</w:t>
            </w:r>
            <w:r w:rsidR="00A22B5A" w:rsidRPr="00373798">
              <w:rPr>
                <w:rFonts w:ascii="Cambria Math" w:hAnsi="Cambria Math" w:cs="Cambria Math"/>
                <w:sz w:val="20"/>
                <w:szCs w:val="20"/>
              </w:rPr>
              <w:t>‑</w:t>
            </w:r>
            <w:r w:rsidR="00A22B5A" w:rsidRPr="00373798">
              <w:rPr>
                <w:rFonts w:ascii="Aptos" w:hAnsi="Aptos" w:cs="Arial"/>
                <w:sz w:val="20"/>
                <w:szCs w:val="20"/>
              </w:rPr>
              <w:t>FE), were widespread and together account for the vast majority of human TBE cases. TBEV</w:t>
            </w:r>
            <w:r w:rsidR="00A22B5A" w:rsidRPr="00373798">
              <w:rPr>
                <w:rFonts w:ascii="Cambria Math" w:hAnsi="Cambria Math" w:cs="Cambria Math"/>
                <w:sz w:val="20"/>
                <w:szCs w:val="20"/>
              </w:rPr>
              <w:t>‑</w:t>
            </w:r>
            <w:r w:rsidR="00A22B5A" w:rsidRPr="00373798">
              <w:rPr>
                <w:rFonts w:ascii="Aptos" w:hAnsi="Aptos" w:cs="Arial"/>
                <w:sz w:val="20"/>
                <w:szCs w:val="20"/>
              </w:rPr>
              <w:t>2871 (TBEV</w:t>
            </w:r>
            <w:r w:rsidR="00A22B5A" w:rsidRPr="00373798">
              <w:rPr>
                <w:rFonts w:ascii="Cambria Math" w:hAnsi="Cambria Math" w:cs="Cambria Math"/>
                <w:sz w:val="20"/>
                <w:szCs w:val="20"/>
              </w:rPr>
              <w:t>‑</w:t>
            </w:r>
            <w:r w:rsidR="00A22B5A" w:rsidRPr="00373798">
              <w:rPr>
                <w:rFonts w:ascii="Aptos" w:hAnsi="Aptos" w:cs="Arial"/>
                <w:sz w:val="20"/>
                <w:szCs w:val="20"/>
              </w:rPr>
              <w:t xml:space="preserve">Ob) </w:t>
            </w:r>
            <w:r w:rsidR="00A22B5A" w:rsidRPr="00373798">
              <w:rPr>
                <w:rFonts w:ascii="Aptos" w:hAnsi="Aptos" w:cs="Arial"/>
                <w:sz w:val="20"/>
                <w:szCs w:val="20"/>
              </w:rPr>
              <w:fldChar w:fldCharType="begin" w:fldLock="1"/>
            </w:r>
            <w:r w:rsidR="00A22B5A" w:rsidRPr="00373798">
              <w:rPr>
                <w:rFonts w:ascii="Aptos" w:hAnsi="Aptos" w:cs="Arial"/>
                <w:sz w:val="20"/>
                <w:szCs w:val="20"/>
              </w:rPr>
              <w:instrText>ADDIN CSL_CITATION {"citationItems":[{"id":"ITEM-1","itemData":{"DOI":"10.1016/j.ttbdis.2019.101327","ISSN":"1877959X","PMID":"31767494","abstract":"The tick-borne encephalitis virus (TBEV), a member of the Flaviviridae family, is currently subdivided into three main subtypes—the European (TBEV-Eu), the Far-Eastern (TBEV-FE), and the Siberian (TBEV-Sib). The TBEV-Sib is the most common subtype and found in all regions where TBEV was detected, except for Central and Western Europe. Currently, four genetic lineages have been described within TBEV-Sib. In this study, detailed analysis of TBEV-Sib genetic diversity, geographic distribution, phylogeography and divergence time of different TBEV-Sib genetic lineages based on E gene fragments, complete genome sequences, and all currently available data in the GenBank database was performed. As a result, a novel Bosnia lineage within the TBEV-Sib was identified. It was demonstrated that the Zausaev lineage is the most widely distributed among the TBEV-Sib lineages, and was detected in all studied regions except the Far East. The Vasilchenko lineage was found from Western Siberia to the Far East. The Baltic lineage is presented from Europe to Western Siberia. The Obskaya lineage was found only in Western Siberia. TBEV strains from a newly described Bosnia lineage were detected in Bosnia, the Crimean peninsula, Kyrgyzstan and Kazakhstan. The greatest divergence of the TBEV-Sib genetic variants was observed in Western Siberia. Within the TBEV-Sib, the Obskaya lineage diverged from the common ancestor the earliest, after that the Bosnia lineage was separated, then the Baltic lineage, and the Zausaev and Vasilchenko lineages diverged most recently.","author":[{"dropping-particle":"","family":"Tkachev","given":"S.E.","non-dropping-particle":"","parse-names":false,"suffix":""},{"dropping-particle":"","family":"Babkin","given":"I.V.","non-dropping-particle":"","parse-names":false,"suffix":""},{"dropping-particle":"","family":"Chicherina","given":"G.S.","non-dropping-particle":"","parse-names":false,"suffix":""},{"dropping-particle":"","family":"Kozlova","given":"I.V.","non-dropping-particle":"","parse-names":false,"suffix":""},{"dropping-particle":"","family":"Verkhozina","given":"M.M.","non-dropping-particle":"","parse-names":false,"suffix":""},{"dropping-particle":"","family":"Demina","given":"T.V.","non-dropping-particle":"","parse-names":false,"suffix":""},{"dropping-particle":"","family":"Lisak","given":"O.V.","non-dropping-particle":"","parse-names":false,"suffix":""},{"dropping-particle":"","family":"Doroshchenko","given":"E.K.","non-dropping-particle":"","parse-names":false,"suffix":""},{"dropping-particle":"","family":"Dzhioev","given":"Yu.P.","non-dropping-particle":"","parse-names":false,"suffix":""},{"dropping-particle":"","family":"Suntsova","given":"O.V.","non-dropping-particle":"","parse-names":false,"suffix":""},{"dropping-particle":"","family":"Belokopytova","given":"P.S.","non-dropping-particle":"","parse-names":false,"suffix":""},{"dropping-particle":"","family":"Tikunov","given":"A.Yu.","non-dropping-particle":"","parse-names":false,"suffix":""},{"dropping-particle":"","family":"Savinova","given":"Yu.S.","non-dropping-particle":"","parse-names":false,"suffix":""},{"dropping-particle":"","family":"Paramonov","given":"A.I.","non-dropping-particle":"","parse-names":false,"suffix":""},{"dropping-particle":"","family":"Glupov","given":"V.V.","non-dropping-particle":"","parse-names":false,"suffix":""},{"dropping-particle":"","family":"Zlobin","given":"V.I.","non-dropping-particle":"","parse-names":false,"suffix":""},{"dropping-particle":"","family":"Tikunova","given":"N.V.","non-dropping-particle":"","parse-names":false,"suffix":""}],"container-title":"Ticks and Tick-borne Diseases","id":"ITEM-1","issue":"2","issued":{"date-parts":[["2020","3"]]},"page":"101327","publisher":"Elsevier","title":"Genetic diversity and geographical distribution of the Siberian subtype of the tick-borne encephalitis virus","type":"article-journal","volume":"11"},"uris":["http://www.mendeley.com/documents/?uuid=6c57e401-497f-4729-8d2a-de3491f1274b"]}],"mendeley":{"formattedCitation":"[3]","plainTextFormattedCitation":"[3]","previouslyFormattedCitation":"[3]"},"properties":{"noteIndex":0},"schema":"https://github.com/citation-style-language/schema/raw/master/csl-citation.json"}</w:instrText>
            </w:r>
            <w:r w:rsidR="00A22B5A" w:rsidRPr="00373798">
              <w:rPr>
                <w:rFonts w:ascii="Aptos" w:hAnsi="Aptos" w:cs="Arial"/>
                <w:sz w:val="20"/>
                <w:szCs w:val="20"/>
              </w:rPr>
              <w:fldChar w:fldCharType="separate"/>
            </w:r>
            <w:r w:rsidR="00A22B5A" w:rsidRPr="00373798">
              <w:rPr>
                <w:rFonts w:ascii="Aptos" w:hAnsi="Aptos" w:cs="Arial"/>
                <w:noProof/>
                <w:sz w:val="20"/>
                <w:szCs w:val="20"/>
              </w:rPr>
              <w:t>[3]</w:t>
            </w:r>
            <w:r w:rsidR="00A22B5A" w:rsidRPr="00373798">
              <w:rPr>
                <w:rFonts w:ascii="Aptos" w:hAnsi="Aptos" w:cs="Arial"/>
                <w:sz w:val="20"/>
                <w:szCs w:val="20"/>
              </w:rPr>
              <w:fldChar w:fldCharType="end"/>
            </w:r>
            <w:r w:rsidR="00A22B5A" w:rsidRPr="00373798">
              <w:rPr>
                <w:rFonts w:ascii="Aptos" w:hAnsi="Aptos" w:cs="Arial"/>
                <w:sz w:val="20"/>
                <w:szCs w:val="20"/>
              </w:rPr>
              <w:t>, TBEV</w:t>
            </w:r>
            <w:r w:rsidR="00A22B5A" w:rsidRPr="00373798">
              <w:rPr>
                <w:rFonts w:ascii="Cambria Math" w:hAnsi="Cambria Math" w:cs="Cambria Math"/>
                <w:sz w:val="20"/>
                <w:szCs w:val="20"/>
              </w:rPr>
              <w:t>‑</w:t>
            </w:r>
            <w:r w:rsidR="00A22B5A" w:rsidRPr="00373798">
              <w:rPr>
                <w:rFonts w:ascii="Aptos" w:hAnsi="Aptos" w:cs="Arial"/>
                <w:sz w:val="20"/>
                <w:szCs w:val="20"/>
              </w:rPr>
              <w:t xml:space="preserve">Him </w:t>
            </w:r>
            <w:r w:rsidR="00A22B5A" w:rsidRPr="00373798">
              <w:rPr>
                <w:rFonts w:ascii="Aptos" w:hAnsi="Aptos" w:cs="Arial"/>
                <w:sz w:val="20"/>
                <w:szCs w:val="20"/>
              </w:rPr>
              <w:fldChar w:fldCharType="begin" w:fldLock="1"/>
            </w:r>
            <w:r w:rsidR="00A22B5A" w:rsidRPr="00373798">
              <w:rPr>
                <w:rFonts w:ascii="Aptos" w:hAnsi="Aptos" w:cs="Arial"/>
                <w:sz w:val="20"/>
                <w:szCs w:val="20"/>
              </w:rPr>
              <w:instrText>ADDIN CSL_CITATION {"citationItems":[{"id":"ITEM-1","itemData":{"DOI":"10.1038/s41426-018-0081-6","ISSN":"2222-1751","author":[{"dropping-particle":"","family":"Dai","given":"Xiaoyi","non-dropping-particle":"","parse-names":false,"suffix":""},{"dropping-particle":"","family":"Shang","given":"Guobao","non-dropping-particle":"","parse-names":false,"suffix":""},{"dropping-particle":"","family":"Lu","given":"Shan","non-dropping-particle":"","parse-names":false,"suffix":""},{"dropping-particle":"","family":"Yang","given":"Jing","non-dropping-particle":"","parse-names":false,"suffix":""},{"dropping-particle":"","family":"Xu","given":"Jianguo","non-dropping-particle":"","parse-names":false,"suffix":""}],"container-title":"Emerging Microbes &amp; Infections","id":"ITEM-1","issue":"1","issued":{"date-parts":[["2018","12","4"]]},"page":"1-9","publisher-place":"State Key Laboratory for Infectious Disease Prevention and Control, National Institute for Communicable Disease Control and Prevention, Collaborative Innovation Center for Diagnosis and Treatment of Infectious Diseases, Chinese Center for Disease Control","title":"A new subtype of eastern tick-borne encephalitis virus discovered in Qinghai-Tibet Plateau, China","type":"article-journal","volume":"7"},"uris":["http://www.mendeley.com/documents/?uuid=f42486bb-4cd0-4c6c-9386-9231d86e3326"]}],"mendeley":{"formattedCitation":"[4]","plainTextFormattedCitation":"[4]","previouslyFormattedCitation":"[4]"},"properties":{"noteIndex":0},"schema":"https://github.com/citation-style-language/schema/raw/master/csl-citation.json"}</w:instrText>
            </w:r>
            <w:r w:rsidR="00A22B5A" w:rsidRPr="00373798">
              <w:rPr>
                <w:rFonts w:ascii="Aptos" w:hAnsi="Aptos" w:cs="Arial"/>
                <w:sz w:val="20"/>
                <w:szCs w:val="20"/>
              </w:rPr>
              <w:fldChar w:fldCharType="separate"/>
            </w:r>
            <w:r w:rsidR="00A22B5A" w:rsidRPr="00373798">
              <w:rPr>
                <w:rFonts w:ascii="Aptos" w:hAnsi="Aptos" w:cs="Arial"/>
                <w:noProof/>
                <w:sz w:val="20"/>
                <w:szCs w:val="20"/>
              </w:rPr>
              <w:t>[4]</w:t>
            </w:r>
            <w:r w:rsidR="00A22B5A" w:rsidRPr="00373798">
              <w:rPr>
                <w:rFonts w:ascii="Aptos" w:hAnsi="Aptos" w:cs="Arial"/>
                <w:sz w:val="20"/>
                <w:szCs w:val="20"/>
              </w:rPr>
              <w:fldChar w:fldCharType="end"/>
            </w:r>
            <w:r w:rsidR="00A22B5A" w:rsidRPr="00373798">
              <w:rPr>
                <w:rFonts w:ascii="Aptos" w:hAnsi="Aptos" w:cs="Arial"/>
                <w:sz w:val="20"/>
                <w:szCs w:val="20"/>
              </w:rPr>
              <w:t>, TBEV</w:t>
            </w:r>
            <w:r w:rsidR="00A22B5A" w:rsidRPr="00373798">
              <w:rPr>
                <w:rFonts w:ascii="Cambria Math" w:hAnsi="Cambria Math" w:cs="Cambria Math"/>
                <w:sz w:val="20"/>
                <w:szCs w:val="20"/>
              </w:rPr>
              <w:t>‑</w:t>
            </w:r>
            <w:r w:rsidR="00A22B5A" w:rsidRPr="00373798">
              <w:rPr>
                <w:rFonts w:ascii="Aptos" w:hAnsi="Aptos" w:cs="Arial"/>
                <w:sz w:val="20"/>
                <w:szCs w:val="20"/>
              </w:rPr>
              <w:t>178</w:t>
            </w:r>
            <w:r w:rsidR="00A22B5A" w:rsidRPr="00373798">
              <w:rPr>
                <w:rFonts w:ascii="Cambria Math" w:hAnsi="Cambria Math" w:cs="Cambria Math"/>
                <w:sz w:val="20"/>
                <w:szCs w:val="20"/>
              </w:rPr>
              <w:t>‑</w:t>
            </w:r>
            <w:r w:rsidR="00A22B5A" w:rsidRPr="00373798">
              <w:rPr>
                <w:rFonts w:ascii="Aptos" w:hAnsi="Aptos" w:cs="Arial"/>
                <w:sz w:val="20"/>
                <w:szCs w:val="20"/>
              </w:rPr>
              <w:t>79 (TBEV</w:t>
            </w:r>
            <w:r w:rsidR="00A22B5A" w:rsidRPr="00373798">
              <w:rPr>
                <w:rFonts w:ascii="Cambria Math" w:hAnsi="Cambria Math" w:cs="Cambria Math"/>
                <w:sz w:val="20"/>
                <w:szCs w:val="20"/>
              </w:rPr>
              <w:t>‑</w:t>
            </w:r>
            <w:r w:rsidR="00A22B5A" w:rsidRPr="00373798">
              <w:rPr>
                <w:rFonts w:ascii="Aptos" w:hAnsi="Aptos" w:cs="Arial"/>
                <w:sz w:val="20"/>
                <w:szCs w:val="20"/>
              </w:rPr>
              <w:t>Bkl</w:t>
            </w:r>
            <w:r w:rsidR="00A22B5A" w:rsidRPr="00373798">
              <w:rPr>
                <w:rFonts w:ascii="Cambria Math" w:hAnsi="Cambria Math" w:cs="Cambria Math"/>
                <w:sz w:val="20"/>
                <w:szCs w:val="20"/>
              </w:rPr>
              <w:t>‑</w:t>
            </w:r>
            <w:r w:rsidR="00A22B5A" w:rsidRPr="00373798">
              <w:rPr>
                <w:rFonts w:ascii="Aptos" w:hAnsi="Aptos" w:cs="Arial"/>
                <w:sz w:val="20"/>
                <w:szCs w:val="20"/>
              </w:rPr>
              <w:t>1) and TBEV</w:t>
            </w:r>
            <w:r w:rsidR="00A22B5A" w:rsidRPr="00373798">
              <w:rPr>
                <w:rFonts w:ascii="Cambria Math" w:hAnsi="Cambria Math" w:cs="Cambria Math"/>
                <w:sz w:val="20"/>
                <w:szCs w:val="20"/>
              </w:rPr>
              <w:t>‑</w:t>
            </w:r>
            <w:r w:rsidR="00A22B5A" w:rsidRPr="00373798">
              <w:rPr>
                <w:rFonts w:ascii="Aptos" w:hAnsi="Aptos" w:cs="Arial"/>
                <w:sz w:val="20"/>
                <w:szCs w:val="20"/>
              </w:rPr>
              <w:t>886</w:t>
            </w:r>
            <w:r w:rsidR="00A22B5A" w:rsidRPr="00373798">
              <w:rPr>
                <w:rFonts w:ascii="Cambria Math" w:hAnsi="Cambria Math" w:cs="Cambria Math"/>
                <w:sz w:val="20"/>
                <w:szCs w:val="20"/>
              </w:rPr>
              <w:t>‑</w:t>
            </w:r>
            <w:r w:rsidR="00A22B5A" w:rsidRPr="00373798">
              <w:rPr>
                <w:rFonts w:ascii="Aptos" w:hAnsi="Aptos" w:cs="Arial"/>
                <w:sz w:val="20"/>
                <w:szCs w:val="20"/>
              </w:rPr>
              <w:t>84 (TBEV</w:t>
            </w:r>
            <w:r w:rsidR="00A22B5A" w:rsidRPr="00373798">
              <w:rPr>
                <w:rFonts w:ascii="Cambria Math" w:hAnsi="Cambria Math" w:cs="Cambria Math"/>
                <w:sz w:val="20"/>
                <w:szCs w:val="20"/>
              </w:rPr>
              <w:t>‑</w:t>
            </w:r>
            <w:r w:rsidR="00A22B5A" w:rsidRPr="00373798">
              <w:rPr>
                <w:rFonts w:ascii="Aptos" w:hAnsi="Aptos" w:cs="Arial"/>
                <w:sz w:val="20"/>
                <w:szCs w:val="20"/>
              </w:rPr>
              <w:t>Bkl</w:t>
            </w:r>
            <w:r w:rsidR="00A22B5A" w:rsidRPr="00373798">
              <w:rPr>
                <w:rFonts w:ascii="Cambria Math" w:hAnsi="Cambria Math" w:cs="Cambria Math"/>
                <w:sz w:val="20"/>
                <w:szCs w:val="20"/>
              </w:rPr>
              <w:t>‑</w:t>
            </w:r>
            <w:r w:rsidR="00A22B5A" w:rsidRPr="00373798">
              <w:rPr>
                <w:rFonts w:ascii="Aptos" w:hAnsi="Aptos" w:cs="Arial"/>
                <w:sz w:val="20"/>
                <w:szCs w:val="20"/>
              </w:rPr>
              <w:t xml:space="preserve">2) </w:t>
            </w:r>
            <w:r w:rsidR="00A22B5A"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{"citationItems":[{"id":"ITEM-1","itemData":{"ISSN":"0507-4088","PMID":"23012978","abstract":"On the basis of the comparison of complete genome structures of 32 strains and gene E fragments (160 ndt) of 643 strains and RNA isolates of tick-borne encephalitis (TBE) virus, we confirmed our previously expressed assumption (Zlobin V.I. et al, 2001) of existence, along with the three major genotypes, of genotypes 4 (strain 178-79) and 5 (strain 886-84). \"Mosaic\" structure of the polyprotein in the two strains was established. It manifests itself in particular in the sequences of 14 positions (C-3, E-206, NS1-54, NS-285, NS2A-100, NS2A-127, NS2A-174, NS2A-175, NS2A-225, NS3-376, NS4B-28, NS4B-96, NS5-18, NS5-671) containing the amino acids strictly conserved for each of the three major genotypes and is consistent with a uniform pattern of distribution of nucleotide substitutions that are specific for genotypes 1, 2 and 3. Possible scenario of the origin of TBE genotypes 4 and 5 was suggested.","author":[{"dropping-particle":"V","family":"Demina","given":"TV","non-dropping-particle":"","parse-names":false,"suffix":""},{"dropping-particle":"","family":"Dzhioev","given":"Iu P","non-dropping-particle":"","parse-names":false,"suffix":""},{"dropping-particle":"V","family":"Kozlova","given":"IV","non-dropping-particle":"","parse-names":false,"suffix":""},{"dropping-particle":"","family":"Verkhozina","given":"MM M","non-dropping-particle":"","parse-names":false,"suffix":""},{"dropping-particle":"","family":"Tkachev","given":"SE E","non-dropping-particle":"","parse-names":false,"suffix":""},{"dropping-particle":"","family":"Doroshchenko","given":"EK K","non-dropping-particle":"","parse-names":false,"suffix":""},{"dropping-particle":"V","family":"Lisak","given":"OV","non-dropping-particle":"","parse-names":false,"suffix":""},{"dropping-particle":"","family":"Paramonov","given":"AI I","non-dropping-particle":"","parse-names":false,"suffix":""},{"dropping-particle":"","family":"Zlobin","given":"VI I","non-dropping-particle":"","parse-names":false,"suffix":""}],"container-title":"Voprosy virusologii","id":"ITEM-1","issue":"4","issued":{"date-parts":[["2012"]]},"page":"13-9","title":"[Genotypes 4 and 5 of the tick-borne encephalitis virus: features of the genome structure and possible scenario for its formation].","type":"article-journal","volume":"57"},"uris":["http://www.mendeley.com/documents/?uuid=ab774874-20b9-4c06-aa6d-be848eb23de0"]}],"mendeley":{"formattedCitation":"[5]","plainTextFormattedCitation":"[5]","previouslyFormattedCitation":"[5]"},"properties":{"noteIndex":0},"schema":"https://github.com/citation-style-language/schema/raw/master/csl-citation.json"}</w:instrText>
            </w:r>
            <w:r w:rsidR="00A22B5A" w:rsidRPr="00373798">
              <w:rPr>
                <w:rFonts w:ascii="Aptos" w:hAnsi="Aptos" w:cs="Arial"/>
                <w:sz w:val="20"/>
                <w:szCs w:val="20"/>
              </w:rPr>
              <w:fldChar w:fldCharType="separate"/>
            </w:r>
            <w:r w:rsidR="00A22B5A" w:rsidRPr="00373798">
              <w:rPr>
                <w:rFonts w:ascii="Aptos" w:hAnsi="Aptos" w:cs="Arial"/>
                <w:noProof/>
                <w:sz w:val="20"/>
                <w:szCs w:val="20"/>
              </w:rPr>
              <w:t>[5]</w:t>
            </w:r>
            <w:r w:rsidR="00A22B5A" w:rsidRPr="00373798">
              <w:rPr>
                <w:rFonts w:ascii="Aptos" w:hAnsi="Aptos" w:cs="Arial"/>
                <w:sz w:val="20"/>
                <w:szCs w:val="20"/>
              </w:rPr>
              <w:fldChar w:fldCharType="end"/>
            </w:r>
            <w:r w:rsidR="00A22B5A" w:rsidRPr="00373798">
              <w:rPr>
                <w:rFonts w:ascii="Aptos" w:hAnsi="Aptos" w:cs="Arial"/>
                <w:sz w:val="20"/>
                <w:szCs w:val="20"/>
              </w:rPr>
              <w:t xml:space="preserve"> have been found only in geographically limited areas. </w:t>
            </w:r>
            <w:r w:rsidR="00096092" w:rsidRPr="00373798">
              <w:rPr>
                <w:rFonts w:ascii="Aptos" w:hAnsi="Aptos" w:cs="Arial"/>
                <w:sz w:val="20"/>
                <w:szCs w:val="20"/>
              </w:rPr>
              <w:t>Spanish sheep encephalitis virus (SSEV)</w:t>
            </w:r>
            <w:r w:rsidR="00A22B5A" w:rsidRPr="00373798">
              <w:rPr>
                <w:rFonts w:ascii="Aptos" w:hAnsi="Aptos" w:cs="Arial"/>
                <w:sz w:val="20"/>
                <w:szCs w:val="20"/>
              </w:rPr>
              <w:t xml:space="preserve"> </w:t>
            </w:r>
            <w:r w:rsidR="00A22B5A" w:rsidRPr="00373798">
              <w:rPr>
                <w:rFonts w:ascii="Aptos" w:hAnsi="Aptos" w:cs="Arial"/>
                <w:sz w:val="20"/>
                <w:szCs w:val="20"/>
              </w:rPr>
              <w:fldChar w:fldCharType="begin" w:fldLock="1"/>
            </w:r>
            <w:r w:rsidR="00F65354" w:rsidRPr="00373798">
              <w:rPr>
                <w:rFonts w:ascii="Aptos" w:hAnsi="Aptos" w:cs="Arial"/>
                <w:sz w:val="20"/>
                <w:szCs w:val="20"/>
              </w:rPr>
              <w:instrText>ADDIN CSL_CITATION {"citationItems":[{"id":"ITEM-1","itemData":{"DOI":"10.1016/0034-5288(95)90081-0","ISSN":"00345288","PMID":"7709053","abstract":"The nucleotide and deduced primary amino acid sequence of the envelope gene of two virus isolates from the brains of Spanish sheep with encephalomyelitis, were determined and compared with those of other flaviviruses. The amino acid alignments showed that the Spanish viruses shared 95 to 96 per cent homology with the envelope protein of louping ill virus and western European tick-borne encephalitis virus. In comparison, the maximum variation in amino acid identities among strains of louping ill virus from the British Isles is 1·8 per cent. The Spanish isolates were distinguishable from all other known flaviviruses by the presence of a unique tripeptide sequence (AQR) at amino acid positions 232 to 234 in the E protein, the position at which a genetic marker for distinct flavivirus species has been identified. Other genetic markers, viz DSGHD (amino acids 320 to 324) and EHLPTA (amino acids 207 to 212), which identify the tick-borne encephalitis group within the genus Flavivirus, were present in the amino acid sequences of the Spanish virus. It is concluded that the cause of sheep encephalomyelitis in Spain is a distinct species in the tick-borne encephalitis virus group. © 1995.","author":[{"dropping-particle":"","family":"Marin","given":"M. S.","non-dropping-particle":"","parse-names":false,"suffix":""},{"dropping-particle":"","family":"McKenzie","given":"J.","non-dropping-particle":"","parse-names":false,"suffix":""},{"dropping-particle":"","family":"Gao","given":"G. F.","non-dropping-particle":"","parse-names":false,"suffix":""},{"dropping-particle":"","family":"Reid","given":"H. W.","non-dropping-particle":"","parse-names":false,"suffix":""},{"dropping-particle":"","family":"Antoniadis","given":"A.","non-dropping-particle":"","parse-names":false,"suffix":""},{"dropping-particle":"","family":"Gould","given":"E. A.","non-dropping-particle":"","parse-names":false,"suffix":""}],"container-title":"Research in Veterinary Science","id":"ITEM-1","issue":"1","issued":{"date-parts":[["1995"]]},"page":"11-13","title":"The virus causing encephalomyelitis in sheep in Spain: a new member of the tick-borne encephalitis group","type":"article-journal","volume":"58"},"uris":["http://www.mendeley.com/documents/?uuid=fd57c27e-c832-4d4c-838e-0ccdd9190089"]}],"mendeley":{"formattedCitation":"[6]","plainTextFormattedCitation":"[6]","previouslyFormattedCitation":"[6]"},"properties":{"noteIndex":0},"schema":"https://github.com/citation-style-language/schema/raw/master/csl-citation.json"}</w:instrText>
            </w:r>
            <w:r w:rsidR="00A22B5A" w:rsidRPr="00373798">
              <w:rPr>
                <w:rFonts w:ascii="Aptos" w:hAnsi="Aptos" w:cs="Arial"/>
                <w:sz w:val="20"/>
                <w:szCs w:val="20"/>
              </w:rPr>
              <w:fldChar w:fldCharType="separate"/>
            </w:r>
            <w:r w:rsidR="00A22B5A" w:rsidRPr="00373798">
              <w:rPr>
                <w:rFonts w:ascii="Aptos" w:hAnsi="Aptos" w:cs="Arial"/>
                <w:noProof/>
                <w:sz w:val="20"/>
                <w:szCs w:val="20"/>
              </w:rPr>
              <w:t>[6]</w:t>
            </w:r>
            <w:r w:rsidR="00A22B5A" w:rsidRPr="00373798">
              <w:rPr>
                <w:rFonts w:ascii="Aptos" w:hAnsi="Aptos" w:cs="Arial"/>
                <w:sz w:val="20"/>
                <w:szCs w:val="20"/>
              </w:rPr>
              <w:fldChar w:fldCharType="end"/>
            </w:r>
            <w:r w:rsidR="00096092" w:rsidRPr="00373798">
              <w:rPr>
                <w:rFonts w:ascii="Aptos" w:hAnsi="Aptos" w:cs="Arial"/>
                <w:sz w:val="20"/>
                <w:szCs w:val="20"/>
              </w:rPr>
              <w:t>, Spanish goat encephalitis virus (SGEV)</w:t>
            </w:r>
            <w:r w:rsidR="00A22B5A" w:rsidRPr="00373798">
              <w:rPr>
                <w:rFonts w:ascii="Aptos" w:hAnsi="Aptos" w:cs="Arial"/>
                <w:sz w:val="20"/>
                <w:szCs w:val="20"/>
              </w:rPr>
              <w:t xml:space="preserve"> </w:t>
            </w:r>
            <w:r w:rsidR="00A22B5A" w:rsidRPr="00373798">
              <w:rPr>
                <w:rFonts w:ascii="Aptos" w:hAnsi="Aptos" w:cs="Arial"/>
                <w:sz w:val="20"/>
                <w:szCs w:val="20"/>
              </w:rPr>
              <w:fldChar w:fldCharType="begin" w:fldLock="1"/>
            </w:r>
            <w:r w:rsidR="00F65354" w:rsidRPr="00373798">
              <w:rPr>
                <w:rFonts w:ascii="Aptos" w:hAnsi="Aptos" w:cs="Arial"/>
                <w:sz w:val="20"/>
                <w:szCs w:val="20"/>
              </w:rPr>
              <w:instrText>ADDIN CSL_CITATION {"citationItems":[{"id":"ITEM-1","itemData":{"DOI":"10.1099/vir.0.000096","ISSN":"14652099","PMID":"25701823","abstract":"In 2011, a neurological disease was reported in a herd of goats (Capra hircus) in Asturias, Spain. Initial sequencing identified the causative agent as louping ill virus (LIV). Subsequently, with the application of whole genome sequencing and phylogenetic analysis, empirical data demonstrates that the LIV-like virus detected is significantly divergent from LIV and Spanish sheep encephalitis virus (SSEV). This virus encoded an amino acid sequence motif at the site of a previously identified marker for differentiating tick-borne flaviviruses that was shared with a virus previously isolated in Ireland in 1968. The significance of these observations reflects the diversity of tick-borne flaviviruses in Europe. These data also contribute to our knowledge of the evolution of tick-borne flaviviruses and could reflect the movement of viruses throughout Europe. Based on these observations, the proposed name for this virus is Spanish goat encephalitis virus (SGEV), to distinguish it from SSEV.","author":[{"dropping-particle":"","family":"Mansfield","given":"Karen L.","non-dropping-particle":"","parse-names":false,"suffix":""},{"dropping-particle":"","family":"Morales","given":"Ana Balseiro","non-dropping-particle":"","parse-names":false,"suffix":""},{"dropping-particle":"","family":"Johnson","given":"Nicholas","non-dropping-particle":"","parse-names":false,"suffix":""},{"dropping-particle":"","family":"Ayllón","given":"Nieves","non-dropping-particle":"","parse-names":false,"suffix":""},{"dropping-particle":"","family":"Höfle","given":"Ursula","non-dropping-particle":"","parse-names":false,"suffix":""},{"dropping-particle":"","family":"Alberdi","given":"Pilar","non-dropping-particle":"","parse-names":false,"suffix":""},{"dropping-particle":"","family":"Fernández de Mera","given":"Isabel G.","non-dropping-particle":"","parse-names":false,"suffix":""},{"dropping-particle":"","family":"Marín","given":"Juan Francisco García","non-dropping-particle":"","parse-names":false,"suffix":""},{"dropping-particle":"","family":"Gortázar","given":"Christian","non-dropping-particle":"","parse-names":false,"suffix":""},{"dropping-particle":"","family":"la Fuente","given":"José","non-dropping-particle":"de","parse-names":false,"suffix":""},{"dropping-particle":"","family":"Fooks","given":"Anthony R.","non-dropping-particle":"","parse-names":false,"suffix":""}],"container-title":"Journal of General Virology","id":"ITEM-1","issue":"7","issued":{"date-parts":[["2015"]]},"page":"1676-1681","title":"Identification and characterization of a novel tick-borne flavivirus subtype in goats (Capra hircus) in Spain","type":"article-journal","volume":"96"},"uris":["http://www.mendeley.com/documents/?uuid=b86caff8-e952-4095-ae3f-7064cf69f9c5"]}],"mendeley":{"formattedCitation":"[7]","plainTextFormattedCitation":"[7]","previouslyFormattedCitation":"[7]"},"properties":{"noteIndex":0},"schema":"https://github.com/citation-style-language/schema/raw/master/csl-citation.json"}</w:instrText>
            </w:r>
            <w:r w:rsidR="00A22B5A" w:rsidRPr="00373798">
              <w:rPr>
                <w:rFonts w:ascii="Aptos" w:hAnsi="Aptos" w:cs="Arial"/>
                <w:sz w:val="20"/>
                <w:szCs w:val="20"/>
              </w:rPr>
              <w:fldChar w:fldCharType="separate"/>
            </w:r>
            <w:r w:rsidR="00A22B5A" w:rsidRPr="00373798">
              <w:rPr>
                <w:rFonts w:ascii="Aptos" w:hAnsi="Aptos" w:cs="Arial"/>
                <w:noProof/>
                <w:sz w:val="20"/>
                <w:szCs w:val="20"/>
              </w:rPr>
              <w:t>[7]</w:t>
            </w:r>
            <w:r w:rsidR="00A22B5A" w:rsidRPr="00373798">
              <w:rPr>
                <w:rFonts w:ascii="Aptos" w:hAnsi="Aptos" w:cs="Arial"/>
                <w:sz w:val="20"/>
                <w:szCs w:val="20"/>
              </w:rPr>
              <w:fldChar w:fldCharType="end"/>
            </w:r>
            <w:r w:rsidR="00096092" w:rsidRPr="00373798">
              <w:rPr>
                <w:rFonts w:ascii="Aptos" w:hAnsi="Aptos" w:cs="Arial"/>
                <w:sz w:val="20"/>
                <w:szCs w:val="20"/>
              </w:rPr>
              <w:t>, Turkish sheep encephalitis virus (TSEV)</w:t>
            </w:r>
            <w:r w:rsidR="00F65354" w:rsidRPr="00373798">
              <w:rPr>
                <w:rFonts w:ascii="Aptos" w:hAnsi="Aptos" w:cs="Arial"/>
                <w:sz w:val="20"/>
                <w:szCs w:val="20"/>
              </w:rPr>
              <w:t xml:space="preserve"> </w:t>
            </w:r>
            <w:r w:rsidR="00F65354" w:rsidRPr="00373798">
              <w:rPr>
                <w:rFonts w:ascii="Aptos" w:hAnsi="Aptos" w:cs="Arial"/>
                <w:sz w:val="20"/>
                <w:szCs w:val="20"/>
              </w:rPr>
              <w:fldChar w:fldCharType="begin" w:fldLock="1"/>
            </w:r>
            <w:r w:rsidR="00F65354" w:rsidRPr="00373798">
              <w:rPr>
                <w:rFonts w:ascii="Aptos" w:hAnsi="Aptos" w:cs="Arial"/>
                <w:sz w:val="20"/>
                <w:szCs w:val="20"/>
              </w:rPr>
              <w:instrText>ADDIN CSL_CITATION {"citationItems":[{"id":"ITEM-1","itemData":{"ISSN":"0001-723X","PMID":"8722293","abstract":"Twenty isolates of Central European encephalitis (CEE) virus were compared with 20 isolates of louping-ill (LI) virus in indirect immunofluorescence test (IIFT), using a panel of 17 monoclonal antibodies (MoAbs) prepared against the prototype LI virus. Three Asian members of the tick-borne encephalitis (TBE) complex were also included in the comparison: Turkish sheep encephalitis (TSE), Russian spring-summer encephalitis (RSSE) and Langat (LGT) viruses. Antigenic relationships of the viruses were evaluated by Dice similarity coefficient and cluster analysis. The results revealed antigenic heterogeneity of LI isolates, antigenic homogeneity of CEE isolates, and indicated that CEE and LI are related varieties of Eurasian TBE flavivirus that also includes TSE and RSSE strains.","author":[{"dropping-particle":"","family":"Hubálek","given":"Z","non-dropping-particle":"","parse-names":false,"suffix":""},{"dropping-particle":"","family":"Pow","given":"I","non-dropping-particle":"","parse-names":false,"suffix":""},{"dropping-particle":"","family":"Reid","given":"H W","non-dropping-particle":"","parse-names":false,"suffix":""},{"dropping-particle":"","family":"Hussain","given":"M H","non-dropping-particle":"","parse-names":false,"suffix":""}],"container-title":"Acta virologica","id":"ITEM-1","issue":"5-6","issued":{"date-parts":[["1995","12"]]},"page":"251-6","title":"Antigenic similarity of central European encephalitis and louping-ill viruses.","type":"article-journal","volume":"39"},"uris":["http://www.mendeley.com/documents/?uuid=04007c7e-90a2-45eb-89a3-d6ea2e5d3fa1"]}],"mendeley":{"formattedCitation":"[8]","plainTextFormattedCitation":"[8]","previouslyFormattedCitation":"[8]"},"properties":{"noteIndex":0},"schema":"https://github.com/citation-style-language/schema/raw/master/csl-citation.json"}</w:instrText>
            </w:r>
            <w:r w:rsidR="00F65354" w:rsidRPr="00373798">
              <w:rPr>
                <w:rFonts w:ascii="Aptos" w:hAnsi="Aptos" w:cs="Arial"/>
                <w:sz w:val="20"/>
                <w:szCs w:val="20"/>
              </w:rPr>
              <w:fldChar w:fldCharType="separate"/>
            </w:r>
            <w:r w:rsidR="00F65354" w:rsidRPr="00373798">
              <w:rPr>
                <w:rFonts w:ascii="Aptos" w:hAnsi="Aptos" w:cs="Arial"/>
                <w:noProof/>
                <w:sz w:val="20"/>
                <w:szCs w:val="20"/>
              </w:rPr>
              <w:t>[8]</w:t>
            </w:r>
            <w:r w:rsidR="00F65354" w:rsidRPr="00373798">
              <w:rPr>
                <w:rFonts w:ascii="Aptos" w:hAnsi="Aptos" w:cs="Arial"/>
                <w:sz w:val="20"/>
                <w:szCs w:val="20"/>
              </w:rPr>
              <w:fldChar w:fldCharType="end"/>
            </w:r>
            <w:r w:rsidR="00096092" w:rsidRPr="00373798">
              <w:rPr>
                <w:rFonts w:ascii="Aptos" w:hAnsi="Aptos" w:cs="Arial"/>
                <w:sz w:val="20"/>
                <w:szCs w:val="20"/>
              </w:rPr>
              <w:t xml:space="preserve">, and Greek goat encephalitis virus (GGEV) </w:t>
            </w:r>
            <w:r w:rsidR="00252383" w:rsidRPr="00373798">
              <w:rPr>
                <w:rFonts w:ascii="Aptos" w:hAnsi="Aptos" w:cs="Arial"/>
                <w:sz w:val="20"/>
                <w:szCs w:val="20"/>
              </w:rPr>
              <w:fldChar w:fldCharType="begin" w:fldLock="1"/>
            </w:r>
            <w:r w:rsidR="00252383" w:rsidRPr="00373798">
              <w:rPr>
                <w:rFonts w:ascii="Aptos" w:hAnsi="Aptos" w:cs="Arial"/>
                <w:sz w:val="20"/>
                <w:szCs w:val="20"/>
              </w:rPr>
              <w:instrText>ADDIN CSL_CITATION {"citationItems":[{"id":"ITEM-1","itemData":{"DOI":"10.3201/eid1402.070889","ISSN":"1080-6040","author":[{"dropping-particle":"","family":"Papa","given":"Anna","non-dropping-particle":"","parse-names":false,"suffix":""},{"dropping-particle":"","family":"Pavlidou","given":"Vasiliki","non-dropping-particle":"","parse-names":false,"suffix":""},{"dropping-particle":"","family":"Antoniadis","given":"Antonis","non-dropping-particle":"","parse-names":false,"suffix":""}],"container-title":"Emerging Infectious Diseases","id":"ITEM-1","issue":"2","issued":{"date-parts":[["2008","2"]]},"page":"330-332","title":"Greek Goat Encephalitis Virus Strain Isolated from Ixodes ricinus, Greece","type":"article-journal","volume":"14"},"uris":["http://www.mendeley.com/documents/?uuid=96b3b3bf-e086-4bed-8d1d-d1bcfecdeeeb"]}],"mendeley":{"formattedCitation":"[9]","plainTextFormattedCitation":"[9]","previouslyFormattedCitation":"[9]"},"properties":{"noteIndex":0},"schema":"https://github.com/citation-style-language/schema/raw/master/csl-citation.json"}</w:instrText>
            </w:r>
            <w:r w:rsidR="00252383" w:rsidRPr="00373798">
              <w:rPr>
                <w:rFonts w:ascii="Aptos" w:hAnsi="Aptos" w:cs="Arial"/>
                <w:sz w:val="20"/>
                <w:szCs w:val="20"/>
              </w:rPr>
              <w:fldChar w:fldCharType="separate"/>
            </w:r>
            <w:r w:rsidR="00252383" w:rsidRPr="00373798">
              <w:rPr>
                <w:rFonts w:ascii="Aptos" w:hAnsi="Aptos" w:cs="Arial"/>
                <w:noProof/>
                <w:sz w:val="20"/>
                <w:szCs w:val="20"/>
              </w:rPr>
              <w:t>[9]</w:t>
            </w:r>
            <w:r w:rsidR="00252383" w:rsidRPr="00373798">
              <w:rPr>
                <w:rFonts w:ascii="Aptos" w:hAnsi="Aptos" w:cs="Arial"/>
                <w:sz w:val="20"/>
                <w:szCs w:val="20"/>
              </w:rPr>
              <w:fldChar w:fldCharType="end"/>
            </w:r>
            <w:r w:rsidR="00E229A9" w:rsidRPr="00373798">
              <w:rPr>
                <w:rFonts w:ascii="Aptos" w:hAnsi="Aptos" w:cs="Arial"/>
                <w:sz w:val="20"/>
                <w:szCs w:val="20"/>
              </w:rPr>
              <w:t>,</w:t>
            </w:r>
            <w:r w:rsidR="00096092" w:rsidRPr="00373798">
              <w:rPr>
                <w:rFonts w:ascii="Aptos" w:hAnsi="Aptos" w:cs="Arial"/>
                <w:sz w:val="20"/>
                <w:szCs w:val="20"/>
              </w:rPr>
              <w:t xml:space="preserve"> remained </w:t>
            </w:r>
            <w:r w:rsidR="00FE69E8" w:rsidRPr="00373798">
              <w:rPr>
                <w:rFonts w:ascii="Aptos" w:hAnsi="Aptos" w:cs="Arial"/>
                <w:sz w:val="20"/>
                <w:szCs w:val="20"/>
              </w:rPr>
              <w:t>unassigned taxonomically, despite TBEV-Eur being phylogenetically closer to them than to other TBEV subtypes.</w:t>
            </w:r>
            <w:r w:rsidR="00096092" w:rsidRPr="00373798">
              <w:rPr>
                <w:rFonts w:ascii="Aptos" w:hAnsi="Aptos" w:cs="Arial"/>
                <w:sz w:val="20"/>
                <w:szCs w:val="20"/>
              </w:rPr>
              <w:t xml:space="preserve"> </w:t>
            </w:r>
            <w:proofErr w:type="spellStart"/>
            <w:r w:rsidR="00734C28" w:rsidRPr="00373798">
              <w:rPr>
                <w:rFonts w:ascii="Aptos" w:hAnsi="Aptos" w:cs="Arial"/>
                <w:sz w:val="20"/>
                <w:szCs w:val="20"/>
              </w:rPr>
              <w:t>Louping</w:t>
            </w:r>
            <w:proofErr w:type="spellEnd"/>
            <w:r w:rsidR="00734C28" w:rsidRPr="00373798">
              <w:rPr>
                <w:rFonts w:ascii="Aptos" w:hAnsi="Aptos" w:cs="Arial"/>
                <w:sz w:val="20"/>
                <w:szCs w:val="20"/>
              </w:rPr>
              <w:t xml:space="preserve"> ill virus (LIV) </w:t>
            </w:r>
            <w:r w:rsidR="00734C28" w:rsidRPr="00373798">
              <w:rPr>
                <w:rFonts w:ascii="Aptos" w:hAnsi="Aptos" w:cs="Arial"/>
                <w:sz w:val="20"/>
                <w:szCs w:val="20"/>
              </w:rPr>
              <w:fldChar w:fldCharType="begin" w:fldLock="1"/>
            </w:r>
            <w:r w:rsidR="00A13A0C" w:rsidRPr="00373798">
              <w:rPr>
                <w:rFonts w:ascii="Aptos" w:hAnsi="Aptos" w:cs="Arial"/>
                <w:sz w:val="20"/>
                <w:szCs w:val="20"/>
              </w:rPr>
              <w:instrText>ADDIN CSL_CITATION {"citationItems":[{"id":"ITEM-1","itemData":{"DOI":"10.1099/0022-1317-79-5-981","ISBN":"0022131779","ISSN":"00221317","PMID":"9603312","abstract":"The nucleotide and deduced amino acid sequences of louping ill (LI) virus isolates, collected from representative regions of the British Isles and Norway, were determined for either the entire envelope gene (20 isolates) or for a portion of the envelope gene that spans a hypervariable region and includes an LI virus specific marker sequence (53 isolates). Phylogenetic analysis reveals the presence of three major geographical populations of LI virus in the British Isles, viz. Irish, Welsh and British LI viruses, which all cause encephalomyelitis in animals, predominantly sheep, and co-habit the same tick population. British LI virus occurs throughout Scotland, England, Ireland and Norway. Irish and Welsh LI viruses occur only in Ireland and Wales, respectively. Phylogenetic analysis also predicts that LI virus initially emerged in Ireland and that a descendant was introduced into Great Britain via Wales and was subsequently transported to the borders of Scotland, from where it was dispersed throughout Scotland, northern England and Norway. More recently, the British LI virus was reintroduced into Ireland and also into south-west England. Dates of lineage divergence, calculated from the synonymous substitution rate, indicate that LI virus emerged in the British Isles less than 800 years ago and most LI virus dispersal occurred during the last 300 years. By combining these data with historical records it appears that livestock movement can be implicated in the dispersal of LI virus.","author":[{"dropping-particle":"","family":"McGuire","given":"K.","non-dropping-particle":"","parse-names":false,"suffix":""},{"dropping-particle":"","family":"Holmes","given":"E. C.","non-dropping-particle":"","parse-names":false,"suffix":""},{"dropping-particle":"","family":"Gao","given":"G. F.","non-dropping-particle":"","parse-names":false,"suffix":""},{"dropping-particle":"","family":"Reid","given":"H. W.","non-dropping-particle":"","parse-names":false,"suffix":""},{"dropping-particle":"","family":"Gould","given":"E. A.","non-dropping-particle":"","parse-names":false,"suffix":""}],"container-title":"Journal of General Virology","id":"ITEM-1","issue":"5","issued":{"date-parts":[["1998"]]},"page":"981-988","title":"Tracing the origins of louping ill virus by molecular phylogenetic analysis","type":"article-journal","volume":"79"},"uris":["http://www.mendeley.com/documents/?uuid=77c1ac4b-f02e-4fb8-b9ad-9432af6fb5f3"]}],"mendeley":{"formattedCitation":"[10]","plainTextFormattedCitation":"[10]","previouslyFormattedCitation":"[10]"},"properties":{"noteIndex":0},"schema":"https://github.com/citation-style-language/schema/raw/master/csl-citation.json"}</w:instrText>
            </w:r>
            <w:r w:rsidR="00734C28" w:rsidRPr="00373798">
              <w:rPr>
                <w:rFonts w:ascii="Aptos" w:hAnsi="Aptos" w:cs="Arial"/>
                <w:sz w:val="20"/>
                <w:szCs w:val="20"/>
              </w:rPr>
              <w:fldChar w:fldCharType="separate"/>
            </w:r>
            <w:r w:rsidR="00734C28" w:rsidRPr="00373798">
              <w:rPr>
                <w:rFonts w:ascii="Aptos" w:hAnsi="Aptos" w:cs="Arial"/>
                <w:noProof/>
                <w:sz w:val="20"/>
                <w:szCs w:val="20"/>
              </w:rPr>
              <w:t>[10]</w:t>
            </w:r>
            <w:r w:rsidR="00734C28" w:rsidRPr="00373798">
              <w:rPr>
                <w:rFonts w:ascii="Aptos" w:hAnsi="Aptos" w:cs="Arial"/>
                <w:sz w:val="20"/>
                <w:szCs w:val="20"/>
              </w:rPr>
              <w:fldChar w:fldCharType="end"/>
            </w:r>
            <w:r w:rsidR="00734C28" w:rsidRPr="00373798">
              <w:rPr>
                <w:rFonts w:ascii="Aptos" w:hAnsi="Aptos" w:cs="Arial"/>
                <w:sz w:val="20"/>
                <w:szCs w:val="20"/>
              </w:rPr>
              <w:t xml:space="preserve"> was classified as a separate species, </w:t>
            </w:r>
            <w:r w:rsidR="00734C28" w:rsidRPr="00923D4C">
              <w:rPr>
                <w:rFonts w:ascii="Aptos" w:hAnsi="Aptos" w:cs="Arial"/>
                <w:i/>
                <w:iCs/>
                <w:sz w:val="20"/>
                <w:szCs w:val="20"/>
              </w:rPr>
              <w:t xml:space="preserve">Orthoflavivirus </w:t>
            </w:r>
            <w:proofErr w:type="spellStart"/>
            <w:r w:rsidR="00734C28" w:rsidRPr="00923D4C">
              <w:rPr>
                <w:rFonts w:ascii="Aptos" w:hAnsi="Aptos" w:cs="Arial"/>
                <w:i/>
                <w:iCs/>
                <w:sz w:val="20"/>
                <w:szCs w:val="20"/>
              </w:rPr>
              <w:t>loupingi</w:t>
            </w:r>
            <w:proofErr w:type="spellEnd"/>
            <w:r w:rsidR="00734C28" w:rsidRPr="00373798">
              <w:rPr>
                <w:rFonts w:ascii="Aptos" w:hAnsi="Aptos" w:cs="Arial"/>
                <w:sz w:val="20"/>
                <w:szCs w:val="20"/>
              </w:rPr>
              <w:t>, due to its distinct ecological niche, primary veterinary impact</w:t>
            </w:r>
            <w:r w:rsidR="00FE69E8" w:rsidRPr="00373798">
              <w:rPr>
                <w:rFonts w:ascii="Aptos" w:hAnsi="Aptos" w:cs="Arial"/>
                <w:sz w:val="20"/>
                <w:szCs w:val="20"/>
              </w:rPr>
              <w:t xml:space="preserve"> </w:t>
            </w:r>
            <w:r w:rsidR="00734C28" w:rsidRPr="00373798">
              <w:rPr>
                <w:rFonts w:ascii="Aptos" w:hAnsi="Aptos" w:cs="Arial"/>
                <w:sz w:val="20"/>
                <w:szCs w:val="20"/>
              </w:rPr>
              <w:t xml:space="preserve">and geographic restriction largely to the British Isles. </w:t>
            </w:r>
            <w:r w:rsidR="00096092" w:rsidRPr="00373798">
              <w:rPr>
                <w:rFonts w:ascii="Aptos" w:hAnsi="Aptos" w:cs="Arial"/>
                <w:sz w:val="20"/>
                <w:szCs w:val="20"/>
              </w:rPr>
              <w:t>Omsk hemorrhagic fever virus (OHFV)</w:t>
            </w:r>
            <w:r w:rsidR="00252383" w:rsidRPr="00373798">
              <w:rPr>
                <w:rFonts w:ascii="Aptos" w:hAnsi="Aptos" w:cs="Arial"/>
                <w:sz w:val="20"/>
                <w:szCs w:val="20"/>
              </w:rPr>
              <w:t xml:space="preserve"> </w:t>
            </w:r>
            <w:r w:rsidR="00252383" w:rsidRPr="00373798">
              <w:rPr>
                <w:rFonts w:ascii="Aptos" w:hAnsi="Aptos" w:cs="Arial"/>
                <w:sz w:val="20"/>
                <w:szCs w:val="20"/>
              </w:rPr>
              <w:fldChar w:fldCharType="begin" w:fldLock="1"/>
            </w:r>
            <w:r w:rsidR="00A13A0C" w:rsidRPr="00373798">
              <w:rPr>
                <w:rFonts w:ascii="Aptos" w:hAnsi="Aptos" w:cs="Arial"/>
                <w:sz w:val="20"/>
                <w:szCs w:val="20"/>
              </w:rPr>
              <w:instrText>ADDIN CSL_CITATION {"citationItems":[{"id":"ITEM-1","itemData":{"DOI":"10.1002/jmv.23856","ISSN":"01466615","abstract":"Human metapneumovirus was discovered recently respiratory virus implicated in both upper and lower respiratory tract infection. In children, the clinical symptoms of human metapneumovirus are similar to those produced by respiratory syncytial virus, ranging from mild to severe diseases such as bronchiolitis and pneumonia. The aim of the present study was to describe the prevalence of human metapneumovirus and other common respiratory viruses among admitted to hospital infants. From January 2006 to June 2006, 99 nasopharyngeal aspirates were collected from hospitalized children younger than 12 months in order to study respiratory viruses. Human metapneumovirus detection was performed by cell culture and two RT-PCR targeting on polymerase and fusion genes. The latter gene was used for phylogenetic analysis. In 67/99 children (67%) at least one viral pathogen was identified, the viruses detected most frequently were respiratory syncytial virus (35%), human metapneumovirus (25%) and rhinovirus (19%). The results obtained in this study, show that: (1) human metapneumovirus is one of the most important viruses among children less than 12 months; (2) children infected with human metapneumovirus were significantly older than those infected by respiratory syncytial virus; (3) human metapneumovirus was associated more frequently with pneumonia whereas respiratory syncytial virus was only detected in patients with bronchiolitis; (4) there was a clear epidemiological succession pattern with only a small overlap among the viruses detected most frequently; (5) all human metapneumovirus samples were clustered within sublineage A2.","author":[{"dropping-particle":"","family":"Karan","given":"Liudmila S.","non-dropping-particle":"","parse-names":false,"suffix":""},{"dropping-particle":"","family":"Ciccozzi","given":"Massimo","non-dropping-particle":"","parse-names":false,"suffix":""},{"dropping-particle":"V.","family":"Yakimenko","given":"Valerii","non-dropping-particle":"","parse-names":false,"suffix":""},{"dropping-particle":"Lo","family":"Presti","given":"Alessandra","non-dropping-particle":"","parse-names":false,"suffix":""},{"dropping-particle":"","family":"Cella","given":"Eleonora","non-dropping-particle":"","parse-names":false,"suffix":""},{"dropping-particle":"","family":"Zehender","given":"Gianguglielmo","non-dropping-particle":"","parse-names":false,"suffix":""},{"dropping-particle":"","family":"Rezza","given":"Giovanni","non-dropping-particle":"","parse-names":false,"suffix":""},{"dropping-particle":"","family":"Platonov","given":"Alexander E.","non-dropping-particle":"","parse-names":false,"suffix":""}],"container-title":"Journal of Medical Virology","id":"ITEM-1","issue":"7","issued":{"date-parts":[["2014","7"]]},"page":"1181-1187","title":"The deduced evolution history of Omsk hemorrhagic fever virus","type":"article-journal","volume":"86"},"uris":["http://www.mendeley.com/documents/?uuid=8cba8f9a-e435-43a3-991f-27d3555cd718"]}],"mendeley":{"formattedCitation":"[11]","plainTextFormattedCitation":"[11]","previouslyFormattedCitation":"[11]"},"properties":{"noteIndex":0},"schema":"https://github.com/citation-style-language/schema/raw/master/csl-citation.json"}</w:instrText>
            </w:r>
            <w:r w:rsidR="00252383" w:rsidRPr="00373798">
              <w:rPr>
                <w:rFonts w:ascii="Aptos" w:hAnsi="Aptos" w:cs="Arial"/>
                <w:sz w:val="20"/>
                <w:szCs w:val="20"/>
              </w:rPr>
              <w:fldChar w:fldCharType="separate"/>
            </w:r>
            <w:r w:rsidR="00734C28" w:rsidRPr="00373798">
              <w:rPr>
                <w:rFonts w:ascii="Aptos" w:hAnsi="Aptos" w:cs="Arial"/>
                <w:noProof/>
                <w:sz w:val="20"/>
                <w:szCs w:val="20"/>
              </w:rPr>
              <w:t>[11]</w:t>
            </w:r>
            <w:r w:rsidR="00252383" w:rsidRPr="00373798">
              <w:rPr>
                <w:rFonts w:ascii="Aptos" w:hAnsi="Aptos" w:cs="Arial"/>
                <w:sz w:val="20"/>
                <w:szCs w:val="20"/>
              </w:rPr>
              <w:fldChar w:fldCharType="end"/>
            </w:r>
            <w:r w:rsidR="00252383" w:rsidRPr="00373798">
              <w:rPr>
                <w:rFonts w:ascii="Aptos" w:hAnsi="Aptos" w:cs="Arial"/>
                <w:sz w:val="20"/>
                <w:szCs w:val="20"/>
              </w:rPr>
              <w:t xml:space="preserve"> </w:t>
            </w:r>
            <w:r w:rsidR="00096092" w:rsidRPr="00373798">
              <w:rPr>
                <w:rFonts w:ascii="Aptos" w:hAnsi="Aptos" w:cs="Arial"/>
                <w:sz w:val="20"/>
                <w:szCs w:val="20"/>
              </w:rPr>
              <w:t xml:space="preserve">was </w:t>
            </w:r>
            <w:proofErr w:type="spellStart"/>
            <w:r w:rsidR="00096092" w:rsidRPr="00373798">
              <w:rPr>
                <w:rFonts w:ascii="Aptos" w:hAnsi="Aptos" w:cs="Arial"/>
                <w:sz w:val="20"/>
                <w:szCs w:val="20"/>
              </w:rPr>
              <w:t>recognised</w:t>
            </w:r>
            <w:proofErr w:type="spellEnd"/>
            <w:r w:rsidR="00096092" w:rsidRPr="00373798">
              <w:rPr>
                <w:rFonts w:ascii="Aptos" w:hAnsi="Aptos" w:cs="Arial"/>
                <w:sz w:val="20"/>
                <w:szCs w:val="20"/>
              </w:rPr>
              <w:t xml:space="preserve"> as a separate species, </w:t>
            </w:r>
            <w:r w:rsidR="00096092" w:rsidRPr="000D5660">
              <w:rPr>
                <w:rFonts w:ascii="Aptos" w:hAnsi="Aptos" w:cs="Arial"/>
                <w:i/>
                <w:iCs/>
                <w:sz w:val="20"/>
                <w:szCs w:val="20"/>
              </w:rPr>
              <w:t xml:space="preserve">Orthoflavivirus </w:t>
            </w:r>
            <w:proofErr w:type="spellStart"/>
            <w:r w:rsidR="00096092" w:rsidRPr="000D5660">
              <w:rPr>
                <w:rFonts w:ascii="Aptos" w:hAnsi="Aptos" w:cs="Arial"/>
                <w:i/>
                <w:iCs/>
                <w:sz w:val="20"/>
                <w:szCs w:val="20"/>
              </w:rPr>
              <w:t>omskense</w:t>
            </w:r>
            <w:proofErr w:type="spellEnd"/>
            <w:r w:rsidR="00096092" w:rsidRPr="00373798">
              <w:rPr>
                <w:rFonts w:ascii="Aptos" w:hAnsi="Aptos" w:cs="Arial"/>
                <w:sz w:val="20"/>
                <w:szCs w:val="20"/>
              </w:rPr>
              <w:t xml:space="preserve">, primarily due to its distinct clinical presentation (hemorrhagic fever with encephalitic manifestations), association with </w:t>
            </w:r>
            <w:r w:rsidR="00096092" w:rsidRPr="000D5660">
              <w:rPr>
                <w:rFonts w:ascii="Aptos" w:hAnsi="Aptos" w:cs="Arial"/>
                <w:i/>
                <w:iCs/>
                <w:sz w:val="20"/>
                <w:szCs w:val="20"/>
              </w:rPr>
              <w:t>Dermacentor</w:t>
            </w:r>
            <w:r w:rsidR="00096092" w:rsidRPr="00373798">
              <w:rPr>
                <w:rFonts w:ascii="Aptos" w:hAnsi="Aptos" w:cs="Arial"/>
                <w:sz w:val="20"/>
                <w:szCs w:val="20"/>
              </w:rPr>
              <w:t xml:space="preserve"> ticks, and unique ecological cycle involving muskrats as amplification hosts.</w:t>
            </w:r>
            <w:r w:rsidR="00252383" w:rsidRPr="00373798">
              <w:rPr>
                <w:rFonts w:ascii="Aptos" w:hAnsi="Aptos" w:cs="Arial"/>
                <w:sz w:val="20"/>
                <w:szCs w:val="20"/>
              </w:rPr>
              <w:t xml:space="preserve"> </w:t>
            </w:r>
          </w:p>
          <w:p w14:paraId="2C24F107" w14:textId="0AF59D64" w:rsidR="00A22B5A" w:rsidRPr="00373798" w:rsidRDefault="00734C28" w:rsidP="00096092">
            <w:pPr>
              <w:rPr>
                <w:rFonts w:ascii="Aptos" w:hAnsi="Aptos" w:cs="Arial"/>
                <w:sz w:val="20"/>
                <w:szCs w:val="20"/>
              </w:rPr>
            </w:pPr>
            <w:r w:rsidRPr="00373798">
              <w:rPr>
                <w:rFonts w:ascii="Aptos" w:hAnsi="Aptos" w:cs="Arial"/>
                <w:sz w:val="20"/>
                <w:szCs w:val="20"/>
              </w:rPr>
              <w:t xml:space="preserve">This classification scheme contained many contradictions. </w:t>
            </w:r>
            <w:r w:rsidR="00A13A0C" w:rsidRPr="00373798">
              <w:rPr>
                <w:rFonts w:ascii="Aptos" w:hAnsi="Aptos" w:cs="Arial"/>
                <w:sz w:val="20"/>
                <w:szCs w:val="20"/>
              </w:rPr>
              <w:t>For example, TBEV-Eur subtype is phylogenetically closer to the LIV</w:t>
            </w:r>
            <w:r w:rsidR="000D5660">
              <w:rPr>
                <w:rFonts w:ascii="Aptos" w:hAnsi="Aptos" w:cs="Arial"/>
                <w:sz w:val="20"/>
                <w:szCs w:val="20"/>
              </w:rPr>
              <w:t>,</w:t>
            </w:r>
            <w:r w:rsidR="000D5660" w:rsidRPr="00373798">
              <w:rPr>
                <w:rFonts w:ascii="Aptos" w:hAnsi="Aptos" w:cs="Arial"/>
                <w:sz w:val="20"/>
                <w:szCs w:val="20"/>
              </w:rPr>
              <w:t xml:space="preserve"> SSEV</w:t>
            </w:r>
            <w:r w:rsidR="000D5660">
              <w:rPr>
                <w:rFonts w:ascii="Aptos" w:hAnsi="Aptos" w:cs="Arial"/>
                <w:sz w:val="20"/>
                <w:szCs w:val="20"/>
              </w:rPr>
              <w:t xml:space="preserve">, </w:t>
            </w:r>
            <w:r w:rsidR="000D5660" w:rsidRPr="00373798">
              <w:rPr>
                <w:rFonts w:ascii="Aptos" w:hAnsi="Aptos" w:cs="Arial"/>
                <w:sz w:val="20"/>
                <w:szCs w:val="20"/>
              </w:rPr>
              <w:t>S</w:t>
            </w:r>
            <w:r w:rsidR="000D5660">
              <w:rPr>
                <w:rFonts w:ascii="Aptos" w:hAnsi="Aptos" w:cs="Arial"/>
                <w:sz w:val="20"/>
                <w:szCs w:val="20"/>
              </w:rPr>
              <w:t>G</w:t>
            </w:r>
            <w:r w:rsidR="000D5660" w:rsidRPr="00373798">
              <w:rPr>
                <w:rFonts w:ascii="Aptos" w:hAnsi="Aptos" w:cs="Arial"/>
                <w:sz w:val="20"/>
                <w:szCs w:val="20"/>
              </w:rPr>
              <w:t>EV</w:t>
            </w:r>
            <w:r w:rsidR="000D5660">
              <w:rPr>
                <w:rFonts w:ascii="Aptos" w:hAnsi="Aptos" w:cs="Arial"/>
                <w:sz w:val="20"/>
                <w:szCs w:val="20"/>
              </w:rPr>
              <w:t>, TSEV, GGEV</w:t>
            </w:r>
            <w:r w:rsidR="00A13A0C" w:rsidRPr="00373798">
              <w:rPr>
                <w:rFonts w:ascii="Aptos" w:hAnsi="Aptos" w:cs="Arial"/>
                <w:sz w:val="20"/>
                <w:szCs w:val="20"/>
              </w:rPr>
              <w:t xml:space="preserve"> than to other TBEV subtypes. This contradicts the basic principles of taxonomy, which require a taxon to be monophyletic </w:t>
            </w:r>
            <w:r w:rsidR="00A13A0C" w:rsidRPr="00373798">
              <w:rPr>
                <w:rFonts w:ascii="Aptos" w:hAnsi="Aptos" w:cs="Arial"/>
                <w:sz w:val="20"/>
                <w:szCs w:val="20"/>
              </w:rPr>
              <w:fldChar w:fldCharType="begin" w:fldLock="1"/>
            </w:r>
            <w:r w:rsidR="00025423" w:rsidRPr="00373798">
              <w:rPr>
                <w:rFonts w:ascii="Aptos" w:hAnsi="Aptos" w:cs="Arial"/>
                <w:sz w:val="20"/>
                <w:szCs w:val="20"/>
              </w:rPr>
              <w:instrText>ADDIN CSL_CITATION {"citationItems":[{"id":"ITEM-1","itemData":{"DOI":"10.1371/journal.pbio.3001922","ISSN":"1545-7885","abstract":"A universal taxonomy of viruses is essential for a comprehensive view of the virus world and for communicating the complicated evolutionary relationships among viruses. However, there are major differences in the conceptualisation and approaches to virus classification and nomenclature among virologists, clinicians, agronomists, and other interested parties. Here, we provide recommendations to guide the construction of a coherent and comprehensive virus taxonomy, based on expert scientific consensus. Firstly, assignments of viruses should be congruent with the best attainable reconstruction of their evolutionary histories, i.e., taxa should be monophyletic. This fundamental principle for classification of viruses is currently included in the International Committee on Taxonomy of Viruses (ICTV) code only for the rank of species. Secondly, phenotypic and ecological properties of viruses may inform, but not override, evolutionary relatedness in the placement of ranks. Thirdly, alternative classifications that consider phenotypic attributes, such as being vector-borne (e.g., “arboviruses”), infecting a certain type of host (e.g., “mycoviruses,” “bacteriophages”) or displaying specific pathogenicity (e.g., “human immunodeficiency viruses”), may serve important clinical and regulatory purposes but often create polyphyletic categories that do not reflect evolutionary relationships. Nevertheless, such classifications ought to be maintained if they serve the needs of specific communities or play a practical clinical or regulatory role. However, they should not be considered or called taxonomies. Finally, while an evolution-based framework enables viruses discovered by metagenomics to be incorporated into the ICTV taxonomy, there are essential requirements for quality control of the sequence data used for these assignments. Combined, these four principles will enable future development and expansion of virus taxonomy as the true evolutionary diversity of viruses becomes apparent.","author":[{"dropping-particle":"","family":"Simmonds","given":"Peter","non-dropping-particle":"","parse-names":false,"suffix":""},{"dropping-particle":"","family":"Adriaenssens","given":"Evelien M.","non-dropping-particle":"","parse-names":false,"suffix":""},{"dropping-particle":"","family":"Zerbini","given":"F. Murilo","non-dropping-particle":"","parse-names":false,"suffix":""},{"dropping-particle":"","family":"Abrescia","given":"Nicola G. A.","non-dropping-particle":"","parse-names":false,"suffix":""},{"dropping-particle":"","family":"Aiewsakun","given":"Pakorn","non-dropping-particle":"","parse-names":false,"suffix":""},{"dropping-particle":"","family":"Alfenas-Zerbini","given":"Poliane","non-dropping-particle":"","parse-names":false,"suffix":""},{"dropping-particle":"","family":"Bao","given":"Yiming","non-dropping-particle":"","parse-names":false,"suffix":""},{"dropping-particle":"","family":"Barylski","given":"Jakub","non-dropping-particle":"","parse-names":false,"suffix":""},{"dropping-particle":"","family":"Drosten","given":"Christian","non-dropping-particle":"","parse-names":false,"suffix":""},{"dropping-particle":"","family":"Duffy","given":"Siobain","non-dropping-particle":"","parse-names":false,"suffix":""},{"dropping-particle":"","family":"Duprex","given":"W. Paul","non-dropping-particle":"","parse-names":false,"suffix":""},{"dropping-particle":"","family":"Dutilh","given":"Bas E.","non-dropping-particle":"","parse-names":false,"suffix":""},{"dropping-particle":"","family":"Elena","given":"Santiago F.","non-dropping-particle":"","parse-names":false,"suffix":""},{"dropping-particle":"","family":"García","given":"Maria Laura","non-dropping-particle":"","parse-names":false,"suffix":""},{"dropping-particle":"","family":"Junglen","given":"Sandra","non-dropping-particle":"","parse-names":false,"suffix":""},{"dropping-particle":"","family":"Katzourakis","given":"Aris","non-dropping-particle":"","parse-names":false,"suffix":""},{"dropping-particle":"V.","family":"Koonin","given":"Eugene","non-dropping-particle":"","parse-names":false,"suffix":""},{"dropping-particle":"","family":"Krupovic","given":"Mart","non-dropping-particle":"","parse-names":false,"suffix":""},{"dropping-particle":"","family":"Kuhn","given":"Jens H.","non-dropping-particle":"","parse-names":false,"suffix":""},{"dropping-particle":"","family":"Lambert","given":"Amy J.","non-dropping-particle":"","parse-names":false,"suffix":""},{"dropping-particle":"","family":"Lefkowitz","given":"Elliot J.","non-dropping-particle":"","parse-names":false,"suffix":""},{"dropping-particle":"","family":"Łobocka","given":"Małgorzata","non-dropping-particle":"","parse-names":false,"suffix":""},{"dropping-particle":"","family":"Lood","given":"Cédric","non-dropping-particle":"","parse-names":false,"suffix":""},{"dropping-particle":"","family":"Mahony","given":"Jennifer","non-dropping-particle":"","parse-names":false,"suffix":""},{"dropping-particle":"","family":"Meier-Kolthoff","given":"Jan P.","non-dropping-particle":"","parse-names":false,"suffix":""},{"dropping-particle":"","family":"Mushegian","given":"Arcady R.","non-dropping-particle":"","parse-names":false,"suffix":""},{"dropping-particle":"","family":"Oksanen","given":"Hanna M.","non-dropping-particle":"","parse-names":false,"suffix":""},{"dropping-particle":"","family":"Poranen","given":"Minna M.","non-dropping-particle":"","parse-names":false,"suffix":""},{"dropping-particle":"","family":"Reyes-Muñoz","given":"Alejandro","non-dropping-particle":"","parse-names":false,"suffix":""},{"dropping-particle":"","family":"Robertson","given":"David L.","non-dropping-particle":"","parse-names":false,"suffix":""},{"dropping-particle":"","family":"Roux","given":"Simon","non-dropping-particle":"","parse-names":false,"suffix":""},{"dropping-particle":"","family":"Rubino","given":"Luisa","non-dropping-particle":"","parse-names":false,"suffix":""},{"dropping-particle":"","family":"Sabanadzovic","given":"Sead","non-dropping-particle":"","parse-names":false,"suffix":""},{"dropping-particle":"","family":"Siddell","given":"Stuart","non-dropping-particle":"","parse-names":false,"suffix":""},{"dropping-particle":"","family":"Skern","given":"Tim","non-dropping-particle":"","parse-names":false,"suffix":""},{"dropping-particle":"","family":"Smith","given":"Donald B.","non-dropping-particle":"","parse-names":false,"suffix":""},{"dropping-particle":"","family":"Sullivan","given":"Matthew B.","non-dropping-particle":"","parse-names":false,"suffix":""},{"dropping-particle":"","family":"Suzuki","given":"Nobuhiro","non-dropping-particle":"","parse-names":false,"suffix":""},{"dropping-particle":"","family":"Turner","given":"Dann","non-dropping-particle":"","parse-names":false,"suffix":""},{"dropping-particle":"","family":"Doorslaer","given":"Koenraad","non-dropping-particle":"Van","parse-names":false,"suffix":""},{"dropping-particle":"","family":"Vandamme","given":"Anne-Mieke","non-dropping-particle":"","parse-names":false,"suffix":""},{"dropping-particle":"","family":"Varsani","given":"Arvind","non-dropping-particle":"","parse-names":false,"suffix":""},{"dropping-particle":"","family":"Vasilakis","given":"Nikos","non-dropping-particle":"","parse-names":false,"suffix":""}],"container-title":"PLOS Biology","id":"ITEM-1","issue":"2","issued":{"date-parts":[["2023","2","13"]]},"page":"e3001922","title":"Four principles to establish a universal virus taxonomy","type":"article-journal","volume":"21"},"uris":["http://www.mendeley.com/documents/?uuid=7f0ae0d2-4dc0-48de-ae85-eb13b3237d30"]}],"mendeley":{"formattedCitation":"[12]","plainTextFormattedCitation":"[12]","previouslyFormattedCitation":"[12]"},"properties":{"noteIndex":0},"schema":"https://github.com/citation-style-language/schema/raw/master/csl-citation.json"}</w:instrText>
            </w:r>
            <w:r w:rsidR="00A13A0C" w:rsidRPr="00373798">
              <w:rPr>
                <w:rFonts w:ascii="Aptos" w:hAnsi="Aptos" w:cs="Arial"/>
                <w:sz w:val="20"/>
                <w:szCs w:val="20"/>
              </w:rPr>
              <w:fldChar w:fldCharType="separate"/>
            </w:r>
            <w:r w:rsidR="00A13A0C" w:rsidRPr="00373798">
              <w:rPr>
                <w:rFonts w:ascii="Aptos" w:hAnsi="Aptos" w:cs="Arial"/>
                <w:noProof/>
                <w:sz w:val="20"/>
                <w:szCs w:val="20"/>
              </w:rPr>
              <w:t>[12]</w:t>
            </w:r>
            <w:r w:rsidR="00A13A0C" w:rsidRPr="00373798">
              <w:rPr>
                <w:rFonts w:ascii="Aptos" w:hAnsi="Aptos" w:cs="Arial"/>
                <w:sz w:val="20"/>
                <w:szCs w:val="20"/>
              </w:rPr>
              <w:fldChar w:fldCharType="end"/>
            </w:r>
            <w:r w:rsidR="00A13A0C" w:rsidRPr="00373798">
              <w:rPr>
                <w:rFonts w:ascii="Aptos" w:hAnsi="Aptos" w:cs="Arial"/>
                <w:sz w:val="20"/>
                <w:szCs w:val="20"/>
              </w:rPr>
              <w:t xml:space="preserve">. Conversely, if the defining characteristic of a species was its ability to cause tick-borne encephalitis in humans, it would be unclear how to classify TBEV-2871 (TBEV-Ob), TBEV-Him, TBEV-178-79 (TBEV-Bkl-1) and TBEV-886-84 (TBEV-Bkl-2), as their ability to cause TBE has not been demonstrated. </w:t>
            </w:r>
          </w:p>
          <w:p w14:paraId="30D85783" w14:textId="6AACE6EF" w:rsidR="00096092" w:rsidRPr="00373798" w:rsidRDefault="00096092" w:rsidP="00096092">
            <w:pPr>
              <w:rPr>
                <w:rFonts w:ascii="Aptos" w:hAnsi="Aptos" w:cs="Arial"/>
                <w:sz w:val="20"/>
                <w:szCs w:val="20"/>
              </w:rPr>
            </w:pPr>
            <w:r w:rsidRPr="00373798">
              <w:rPr>
                <w:rFonts w:ascii="Aptos" w:hAnsi="Aptos" w:cs="Arial"/>
                <w:sz w:val="20"/>
                <w:szCs w:val="20"/>
              </w:rPr>
              <w:t>In 2025, a taxonomic proposal (</w:t>
            </w:r>
            <w:proofErr w:type="gramStart"/>
            <w:r w:rsidRPr="00373798">
              <w:rPr>
                <w:rFonts w:ascii="Aptos" w:hAnsi="Aptos" w:cs="Arial"/>
                <w:sz w:val="20"/>
                <w:szCs w:val="20"/>
              </w:rPr>
              <w:t>2025.007S.A</w:t>
            </w:r>
            <w:proofErr w:type="gramEnd"/>
            <w:r w:rsidRPr="00373798">
              <w:rPr>
                <w:rFonts w:ascii="Aptos" w:hAnsi="Aptos" w:cs="Arial"/>
                <w:sz w:val="20"/>
                <w:szCs w:val="20"/>
              </w:rPr>
              <w:t xml:space="preserve">.v3.Orthoflavivirus_2nsp_1spren) was ratified by the </w:t>
            </w:r>
            <w:r w:rsidRPr="00373798">
              <w:rPr>
                <w:rFonts w:ascii="Aptos" w:hAnsi="Aptos" w:cs="Arial"/>
                <w:sz w:val="20"/>
                <w:szCs w:val="20"/>
              </w:rPr>
              <w:lastRenderedPageBreak/>
              <w:t xml:space="preserve">ICTV, which formally split </w:t>
            </w:r>
            <w:r w:rsidRPr="00E665BA">
              <w:rPr>
                <w:rFonts w:ascii="Aptos" w:hAnsi="Aptos" w:cs="Arial"/>
                <w:i/>
                <w:iCs/>
                <w:sz w:val="20"/>
                <w:szCs w:val="20"/>
              </w:rPr>
              <w:t xml:space="preserve">O. </w:t>
            </w:r>
            <w:proofErr w:type="spellStart"/>
            <w:r w:rsidRPr="00E665BA">
              <w:rPr>
                <w:rFonts w:ascii="Aptos" w:hAnsi="Aptos" w:cs="Arial"/>
                <w:i/>
                <w:iCs/>
                <w:sz w:val="20"/>
                <w:szCs w:val="20"/>
              </w:rPr>
              <w:t>encephalitidis</w:t>
            </w:r>
            <w:proofErr w:type="spellEnd"/>
            <w:r w:rsidRPr="00373798">
              <w:rPr>
                <w:rFonts w:ascii="Aptos" w:hAnsi="Aptos" w:cs="Arial"/>
                <w:sz w:val="20"/>
                <w:szCs w:val="20"/>
              </w:rPr>
              <w:t xml:space="preserve"> into four distinct species:</w:t>
            </w:r>
          </w:p>
          <w:p w14:paraId="76A20E42" w14:textId="77777777" w:rsidR="00096092" w:rsidRPr="00373798" w:rsidRDefault="00096092" w:rsidP="00096092">
            <w:pPr>
              <w:rPr>
                <w:rFonts w:ascii="Aptos" w:hAnsi="Aptos" w:cs="Arial"/>
                <w:sz w:val="20"/>
                <w:szCs w:val="20"/>
              </w:rPr>
            </w:pPr>
            <w:r w:rsidRPr="00373798">
              <w:rPr>
                <w:rFonts w:ascii="Aptos" w:hAnsi="Aptos" w:cs="Arial"/>
                <w:sz w:val="20"/>
                <w:szCs w:val="20"/>
              </w:rPr>
              <w:t xml:space="preserve">- </w:t>
            </w:r>
            <w:r w:rsidRPr="00E665BA">
              <w:rPr>
                <w:rFonts w:ascii="Aptos" w:hAnsi="Aptos" w:cs="Arial"/>
                <w:i/>
                <w:iCs/>
                <w:sz w:val="20"/>
                <w:szCs w:val="20"/>
              </w:rPr>
              <w:t xml:space="preserve">Orthoflavivirus </w:t>
            </w:r>
            <w:proofErr w:type="spellStart"/>
            <w:r w:rsidRPr="00E665BA">
              <w:rPr>
                <w:rFonts w:ascii="Aptos" w:hAnsi="Aptos" w:cs="Arial"/>
                <w:i/>
                <w:iCs/>
                <w:sz w:val="20"/>
                <w:szCs w:val="20"/>
              </w:rPr>
              <w:t>neudoerflense</w:t>
            </w:r>
            <w:proofErr w:type="spellEnd"/>
            <w:r w:rsidRPr="00373798">
              <w:rPr>
                <w:rFonts w:ascii="Aptos" w:hAnsi="Aptos" w:cs="Arial"/>
                <w:sz w:val="20"/>
                <w:szCs w:val="20"/>
              </w:rPr>
              <w:t xml:space="preserve"> (accommodating TBEV-Eur),</w:t>
            </w:r>
          </w:p>
          <w:p w14:paraId="4209F9BB" w14:textId="77777777" w:rsidR="00096092" w:rsidRPr="00373798" w:rsidRDefault="00096092" w:rsidP="00096092">
            <w:pPr>
              <w:rPr>
                <w:rFonts w:ascii="Aptos" w:hAnsi="Aptos" w:cs="Arial"/>
                <w:sz w:val="20"/>
                <w:szCs w:val="20"/>
              </w:rPr>
            </w:pPr>
            <w:r w:rsidRPr="00373798">
              <w:rPr>
                <w:rFonts w:ascii="Aptos" w:hAnsi="Aptos" w:cs="Arial"/>
                <w:sz w:val="20"/>
                <w:szCs w:val="20"/>
              </w:rPr>
              <w:t xml:space="preserve">- </w:t>
            </w:r>
            <w:r w:rsidRPr="00E665BA">
              <w:rPr>
                <w:rFonts w:ascii="Aptos" w:hAnsi="Aptos" w:cs="Arial"/>
                <w:i/>
                <w:iCs/>
                <w:sz w:val="20"/>
                <w:szCs w:val="20"/>
              </w:rPr>
              <w:t xml:space="preserve">Orthoflavivirus </w:t>
            </w:r>
            <w:proofErr w:type="spellStart"/>
            <w:r w:rsidRPr="00E665BA">
              <w:rPr>
                <w:rFonts w:ascii="Aptos" w:hAnsi="Aptos" w:cs="Arial"/>
                <w:i/>
                <w:iCs/>
                <w:sz w:val="20"/>
                <w:szCs w:val="20"/>
              </w:rPr>
              <w:t>zilberi</w:t>
            </w:r>
            <w:proofErr w:type="spellEnd"/>
            <w:r w:rsidRPr="00373798">
              <w:rPr>
                <w:rFonts w:ascii="Aptos" w:hAnsi="Aptos" w:cs="Arial"/>
                <w:sz w:val="20"/>
                <w:szCs w:val="20"/>
              </w:rPr>
              <w:t xml:space="preserve"> (accommodating TBEV-FE, -Sib, -Bkl-1, -Bkl-2, -Ob, and -Him),</w:t>
            </w:r>
          </w:p>
          <w:p w14:paraId="13BE493D" w14:textId="77777777" w:rsidR="00096092" w:rsidRPr="00373798" w:rsidRDefault="00096092" w:rsidP="00096092">
            <w:pPr>
              <w:rPr>
                <w:rFonts w:ascii="Aptos" w:hAnsi="Aptos" w:cs="Arial"/>
                <w:sz w:val="20"/>
                <w:szCs w:val="20"/>
              </w:rPr>
            </w:pPr>
            <w:r w:rsidRPr="00373798">
              <w:rPr>
                <w:rFonts w:ascii="Aptos" w:hAnsi="Aptos" w:cs="Arial"/>
                <w:sz w:val="20"/>
                <w:szCs w:val="20"/>
              </w:rPr>
              <w:t xml:space="preserve">- </w:t>
            </w:r>
            <w:r w:rsidRPr="00E665BA">
              <w:rPr>
                <w:rFonts w:ascii="Aptos" w:hAnsi="Aptos" w:cs="Arial"/>
                <w:i/>
                <w:iCs/>
                <w:sz w:val="20"/>
                <w:szCs w:val="20"/>
              </w:rPr>
              <w:t xml:space="preserve">Orthoflavivirus </w:t>
            </w:r>
            <w:proofErr w:type="spellStart"/>
            <w:r w:rsidRPr="00E665BA">
              <w:rPr>
                <w:rFonts w:ascii="Aptos" w:hAnsi="Aptos" w:cs="Arial"/>
                <w:i/>
                <w:iCs/>
                <w:sz w:val="20"/>
                <w:szCs w:val="20"/>
              </w:rPr>
              <w:t>loupingi</w:t>
            </w:r>
            <w:proofErr w:type="spellEnd"/>
            <w:r w:rsidRPr="00373798">
              <w:rPr>
                <w:rFonts w:ascii="Aptos" w:hAnsi="Aptos" w:cs="Arial"/>
                <w:sz w:val="20"/>
                <w:szCs w:val="20"/>
              </w:rPr>
              <w:t xml:space="preserve"> (redefined to include LIV, SSEV, and SGEV),</w:t>
            </w:r>
          </w:p>
          <w:p w14:paraId="060C5586" w14:textId="77777777" w:rsidR="00096092" w:rsidRPr="00373798" w:rsidRDefault="00096092" w:rsidP="00096092">
            <w:pPr>
              <w:rPr>
                <w:rFonts w:ascii="Aptos" w:hAnsi="Aptos" w:cs="Arial"/>
                <w:sz w:val="20"/>
                <w:szCs w:val="20"/>
              </w:rPr>
            </w:pPr>
            <w:r w:rsidRPr="00373798">
              <w:rPr>
                <w:rFonts w:ascii="Aptos" w:hAnsi="Aptos" w:cs="Arial"/>
                <w:sz w:val="20"/>
                <w:szCs w:val="20"/>
              </w:rPr>
              <w:t xml:space="preserve">- </w:t>
            </w:r>
            <w:r w:rsidRPr="00E665BA">
              <w:rPr>
                <w:rFonts w:ascii="Aptos" w:hAnsi="Aptos" w:cs="Arial"/>
                <w:i/>
                <w:iCs/>
                <w:sz w:val="20"/>
                <w:szCs w:val="20"/>
              </w:rPr>
              <w:t xml:space="preserve">Orthoflavivirus </w:t>
            </w:r>
            <w:proofErr w:type="spellStart"/>
            <w:r w:rsidRPr="00E665BA">
              <w:rPr>
                <w:rFonts w:ascii="Aptos" w:hAnsi="Aptos" w:cs="Arial"/>
                <w:i/>
                <w:iCs/>
                <w:sz w:val="20"/>
                <w:szCs w:val="20"/>
              </w:rPr>
              <w:t>mediterranense</w:t>
            </w:r>
            <w:proofErr w:type="spellEnd"/>
            <w:r w:rsidRPr="00373798">
              <w:rPr>
                <w:rFonts w:ascii="Aptos" w:hAnsi="Aptos" w:cs="Arial"/>
                <w:sz w:val="20"/>
                <w:szCs w:val="20"/>
              </w:rPr>
              <w:t xml:space="preserve"> (accommodating TSEV and GGEV).</w:t>
            </w:r>
          </w:p>
          <w:p w14:paraId="685E6240" w14:textId="60A590E4" w:rsidR="00A77B8E" w:rsidRPr="00373798" w:rsidRDefault="00096092" w:rsidP="00096092">
            <w:pPr>
              <w:rPr>
                <w:rFonts w:ascii="Aptos" w:hAnsi="Aptos" w:cs="Arial"/>
                <w:sz w:val="20"/>
                <w:szCs w:val="20"/>
              </w:rPr>
            </w:pPr>
            <w:r w:rsidRPr="00373798">
              <w:rPr>
                <w:rFonts w:ascii="Aptos" w:hAnsi="Aptos" w:cs="Arial"/>
                <w:sz w:val="20"/>
                <w:szCs w:val="20"/>
              </w:rPr>
              <w:t xml:space="preserve">Thus, the former TBEV complex is </w:t>
            </w:r>
            <w:r w:rsidR="00E229A9" w:rsidRPr="00373798">
              <w:rPr>
                <w:rFonts w:ascii="Aptos" w:hAnsi="Aptos" w:cs="Arial"/>
                <w:sz w:val="20"/>
                <w:szCs w:val="20"/>
              </w:rPr>
              <w:t xml:space="preserve">currently </w:t>
            </w:r>
            <w:r w:rsidRPr="00373798">
              <w:rPr>
                <w:rFonts w:ascii="Aptos" w:hAnsi="Aptos" w:cs="Arial"/>
                <w:sz w:val="20"/>
                <w:szCs w:val="20"/>
              </w:rPr>
              <w:t>represented by four separate species, while OHFV remains a distinct species within the same genus.</w:t>
            </w:r>
          </w:p>
          <w:p w14:paraId="104F481E" w14:textId="77777777" w:rsidR="00FC2269" w:rsidRPr="00373798" w:rsidRDefault="00FC2269" w:rsidP="00DD58AA">
            <w:pPr>
              <w:rPr>
                <w:rFonts w:ascii="Aptos" w:hAnsi="Aptos" w:cs="Arial"/>
                <w:sz w:val="20"/>
                <w:szCs w:val="20"/>
              </w:rPr>
            </w:pPr>
          </w:p>
          <w:p w14:paraId="07EC2EC2" w14:textId="71E69BE6" w:rsidR="00A77B8E" w:rsidRPr="00373798" w:rsidRDefault="00A77B8E" w:rsidP="00DD58AA">
            <w:pPr>
              <w:rPr>
                <w:rFonts w:ascii="Aptos" w:hAnsi="Aptos" w:cs="Arial"/>
                <w:sz w:val="20"/>
                <w:szCs w:val="20"/>
              </w:rPr>
            </w:pPr>
            <w:r w:rsidRPr="00373798">
              <w:rPr>
                <w:rFonts w:ascii="Aptos" w:hAnsi="Aptos" w:cs="Arial"/>
                <w:i/>
                <w:sz w:val="20"/>
                <w:szCs w:val="20"/>
              </w:rPr>
              <w:t>Proposed</w:t>
            </w:r>
            <w:r w:rsidRPr="00373798">
              <w:rPr>
                <w:rFonts w:ascii="Aptos" w:hAnsi="Aptos" w:cs="Arial"/>
                <w:sz w:val="20"/>
                <w:szCs w:val="20"/>
              </w:rPr>
              <w:t xml:space="preserve"> </w:t>
            </w:r>
            <w:r w:rsidRPr="00373798">
              <w:rPr>
                <w:rFonts w:ascii="Aptos" w:hAnsi="Aptos" w:cs="Arial"/>
                <w:i/>
                <w:sz w:val="20"/>
                <w:szCs w:val="20"/>
              </w:rPr>
              <w:t>taxonomic changes</w:t>
            </w:r>
            <w:r w:rsidRPr="00373798">
              <w:rPr>
                <w:rFonts w:ascii="Aptos" w:hAnsi="Aptos" w:cs="Arial"/>
                <w:sz w:val="20"/>
                <w:szCs w:val="20"/>
              </w:rPr>
              <w:t xml:space="preserve">:     </w:t>
            </w:r>
          </w:p>
          <w:p w14:paraId="3BC136DA" w14:textId="6A08E40B" w:rsidR="00FE69E8" w:rsidRPr="00373798" w:rsidRDefault="00FE69E8" w:rsidP="00FE69E8">
            <w:pPr>
              <w:rPr>
                <w:rFonts w:ascii="Aptos" w:hAnsi="Aptos" w:cs="Arial"/>
                <w:sz w:val="20"/>
                <w:szCs w:val="20"/>
              </w:rPr>
            </w:pPr>
            <w:r w:rsidRPr="00373798">
              <w:rPr>
                <w:rFonts w:ascii="Aptos" w:hAnsi="Aptos" w:cs="Arial"/>
                <w:sz w:val="20"/>
                <w:szCs w:val="20"/>
              </w:rPr>
              <w:t>We propose a revision to the recently ratified classification (</w:t>
            </w:r>
            <w:proofErr w:type="gramStart"/>
            <w:r w:rsidRPr="00373798">
              <w:rPr>
                <w:rFonts w:ascii="Aptos" w:hAnsi="Aptos" w:cs="Arial"/>
                <w:sz w:val="20"/>
                <w:szCs w:val="20"/>
              </w:rPr>
              <w:t>2025.007S.A</w:t>
            </w:r>
            <w:proofErr w:type="gramEnd"/>
            <w:r w:rsidRPr="00373798">
              <w:rPr>
                <w:rFonts w:ascii="Aptos" w:hAnsi="Aptos" w:cs="Arial"/>
                <w:sz w:val="20"/>
                <w:szCs w:val="20"/>
              </w:rPr>
              <w:t>.v3.Orthoflavivirus_2nsp_1spren). Specifically, we propose to merge the four newly established species</w:t>
            </w:r>
            <w:r w:rsidR="00025423" w:rsidRPr="00373798">
              <w:rPr>
                <w:rFonts w:ascii="Aptos" w:hAnsi="Aptos" w:cs="Arial"/>
                <w:sz w:val="20"/>
                <w:szCs w:val="20"/>
              </w:rPr>
              <w:t>,</w:t>
            </w:r>
            <w:r w:rsidRPr="00373798">
              <w:rPr>
                <w:rFonts w:ascii="Aptos" w:hAnsi="Aptos" w:cs="Arial"/>
                <w:sz w:val="20"/>
                <w:szCs w:val="20"/>
              </w:rPr>
              <w:t xml:space="preserve"> </w:t>
            </w:r>
            <w:r w:rsidRPr="00E665BA">
              <w:rPr>
                <w:rFonts w:ascii="Aptos" w:hAnsi="Aptos" w:cs="Arial"/>
                <w:i/>
                <w:iCs/>
                <w:sz w:val="20"/>
                <w:szCs w:val="20"/>
              </w:rPr>
              <w:t xml:space="preserve">Orthoflavivirus </w:t>
            </w:r>
            <w:proofErr w:type="spellStart"/>
            <w:r w:rsidRPr="00E665BA">
              <w:rPr>
                <w:rFonts w:ascii="Aptos" w:hAnsi="Aptos" w:cs="Arial"/>
                <w:i/>
                <w:iCs/>
                <w:sz w:val="20"/>
                <w:szCs w:val="20"/>
              </w:rPr>
              <w:t>neudoerflense</w:t>
            </w:r>
            <w:proofErr w:type="spellEnd"/>
            <w:r w:rsidRPr="00373798">
              <w:rPr>
                <w:rFonts w:ascii="Aptos" w:hAnsi="Aptos" w:cs="Arial"/>
                <w:sz w:val="20"/>
                <w:szCs w:val="20"/>
              </w:rPr>
              <w:t xml:space="preserve">, </w:t>
            </w:r>
            <w:r w:rsidRPr="00E665BA">
              <w:rPr>
                <w:rFonts w:ascii="Aptos" w:hAnsi="Aptos" w:cs="Arial"/>
                <w:i/>
                <w:iCs/>
                <w:sz w:val="20"/>
                <w:szCs w:val="20"/>
              </w:rPr>
              <w:t xml:space="preserve">O. </w:t>
            </w:r>
            <w:proofErr w:type="spellStart"/>
            <w:r w:rsidRPr="00E665BA">
              <w:rPr>
                <w:rFonts w:ascii="Aptos" w:hAnsi="Aptos" w:cs="Arial"/>
                <w:i/>
                <w:iCs/>
                <w:sz w:val="20"/>
                <w:szCs w:val="20"/>
              </w:rPr>
              <w:t>zilberi</w:t>
            </w:r>
            <w:proofErr w:type="spellEnd"/>
            <w:r w:rsidRPr="00373798">
              <w:rPr>
                <w:rFonts w:ascii="Aptos" w:hAnsi="Aptos" w:cs="Arial"/>
                <w:sz w:val="20"/>
                <w:szCs w:val="20"/>
              </w:rPr>
              <w:t xml:space="preserve">, </w:t>
            </w:r>
            <w:r w:rsidRPr="00E665BA">
              <w:rPr>
                <w:rFonts w:ascii="Aptos" w:hAnsi="Aptos" w:cs="Arial"/>
                <w:i/>
                <w:iCs/>
                <w:sz w:val="20"/>
                <w:szCs w:val="20"/>
              </w:rPr>
              <w:t xml:space="preserve">O. </w:t>
            </w:r>
            <w:proofErr w:type="spellStart"/>
            <w:r w:rsidRPr="00E665BA">
              <w:rPr>
                <w:rFonts w:ascii="Aptos" w:hAnsi="Aptos" w:cs="Arial"/>
                <w:i/>
                <w:iCs/>
                <w:sz w:val="20"/>
                <w:szCs w:val="20"/>
              </w:rPr>
              <w:t>loupingi</w:t>
            </w:r>
            <w:proofErr w:type="spellEnd"/>
            <w:r w:rsidRPr="00373798">
              <w:rPr>
                <w:rFonts w:ascii="Aptos" w:hAnsi="Aptos" w:cs="Arial"/>
                <w:sz w:val="20"/>
                <w:szCs w:val="20"/>
              </w:rPr>
              <w:t xml:space="preserve">, and </w:t>
            </w:r>
            <w:r w:rsidRPr="00E665BA">
              <w:rPr>
                <w:rFonts w:ascii="Aptos" w:hAnsi="Aptos" w:cs="Arial"/>
                <w:i/>
                <w:iCs/>
                <w:sz w:val="20"/>
                <w:szCs w:val="20"/>
              </w:rPr>
              <w:t xml:space="preserve">O. </w:t>
            </w:r>
            <w:proofErr w:type="spellStart"/>
            <w:r w:rsidRPr="00E665BA">
              <w:rPr>
                <w:rFonts w:ascii="Aptos" w:hAnsi="Aptos" w:cs="Arial"/>
                <w:i/>
                <w:iCs/>
                <w:sz w:val="20"/>
                <w:szCs w:val="20"/>
              </w:rPr>
              <w:t>mediterranense</w:t>
            </w:r>
            <w:proofErr w:type="spellEnd"/>
            <w:r w:rsidR="00025423" w:rsidRPr="00373798">
              <w:rPr>
                <w:rFonts w:ascii="Aptos" w:hAnsi="Aptos" w:cs="Arial"/>
                <w:sz w:val="20"/>
                <w:szCs w:val="20"/>
              </w:rPr>
              <w:t>,</w:t>
            </w:r>
            <w:r w:rsidRPr="00373798">
              <w:rPr>
                <w:rFonts w:ascii="Aptos" w:hAnsi="Aptos" w:cs="Arial"/>
                <w:sz w:val="20"/>
                <w:szCs w:val="20"/>
              </w:rPr>
              <w:t xml:space="preserve"> together with </w:t>
            </w:r>
            <w:r w:rsidRPr="00E665BA">
              <w:rPr>
                <w:rFonts w:ascii="Aptos" w:hAnsi="Aptos" w:cs="Arial"/>
                <w:i/>
                <w:iCs/>
                <w:sz w:val="20"/>
                <w:szCs w:val="20"/>
              </w:rPr>
              <w:t>Omsk hemorrhagic fever virus</w:t>
            </w:r>
            <w:r w:rsidRPr="00373798">
              <w:rPr>
                <w:rFonts w:ascii="Aptos" w:hAnsi="Aptos" w:cs="Arial"/>
                <w:sz w:val="20"/>
                <w:szCs w:val="20"/>
              </w:rPr>
              <w:t xml:space="preserve"> (OHFV, currently classified as </w:t>
            </w:r>
            <w:r w:rsidRPr="00E665BA">
              <w:rPr>
                <w:rFonts w:ascii="Aptos" w:hAnsi="Aptos" w:cs="Arial"/>
                <w:i/>
                <w:iCs/>
                <w:sz w:val="20"/>
                <w:szCs w:val="20"/>
              </w:rPr>
              <w:t xml:space="preserve">Orthoflavivirus </w:t>
            </w:r>
            <w:proofErr w:type="spellStart"/>
            <w:r w:rsidRPr="00E665BA">
              <w:rPr>
                <w:rFonts w:ascii="Aptos" w:hAnsi="Aptos" w:cs="Arial"/>
                <w:i/>
                <w:iCs/>
                <w:sz w:val="20"/>
                <w:szCs w:val="20"/>
              </w:rPr>
              <w:t>omskense</w:t>
            </w:r>
            <w:proofErr w:type="spellEnd"/>
            <w:r w:rsidRPr="00373798">
              <w:rPr>
                <w:rFonts w:ascii="Aptos" w:hAnsi="Aptos" w:cs="Arial"/>
                <w:sz w:val="20"/>
                <w:szCs w:val="20"/>
              </w:rPr>
              <w:t xml:space="preserve">), into a single species: </w:t>
            </w:r>
            <w:r w:rsidR="00862ADA">
              <w:rPr>
                <w:rFonts w:ascii="Aptos" w:hAnsi="Aptos" w:cs="Arial"/>
                <w:sz w:val="20"/>
                <w:szCs w:val="20"/>
              </w:rPr>
              <w:t>“</w:t>
            </w:r>
            <w:r w:rsidRPr="00E665BA">
              <w:rPr>
                <w:rFonts w:ascii="Aptos" w:hAnsi="Aptos" w:cs="Arial"/>
                <w:i/>
                <w:iCs/>
                <w:sz w:val="20"/>
                <w:szCs w:val="20"/>
              </w:rPr>
              <w:t xml:space="preserve">Orthoflavivirus </w:t>
            </w:r>
            <w:proofErr w:type="spellStart"/>
            <w:r w:rsidRPr="00E665BA">
              <w:rPr>
                <w:rFonts w:ascii="Aptos" w:hAnsi="Aptos" w:cs="Arial"/>
                <w:i/>
                <w:iCs/>
                <w:sz w:val="20"/>
                <w:szCs w:val="20"/>
              </w:rPr>
              <w:t>eurasiaticus</w:t>
            </w:r>
            <w:proofErr w:type="spellEnd"/>
            <w:r w:rsidR="00862ADA">
              <w:rPr>
                <w:rFonts w:ascii="Aptos" w:hAnsi="Aptos" w:cs="Arial"/>
                <w:i/>
                <w:iCs/>
                <w:sz w:val="20"/>
                <w:szCs w:val="20"/>
              </w:rPr>
              <w:t>”</w:t>
            </w:r>
            <w:r w:rsidR="00862ADA">
              <w:rPr>
                <w:rFonts w:ascii="Aptos" w:hAnsi="Aptos" w:cs="Arial"/>
                <w:sz w:val="20"/>
                <w:szCs w:val="20"/>
              </w:rPr>
              <w:t>.</w:t>
            </w:r>
            <w:r w:rsidRPr="00373798">
              <w:rPr>
                <w:rFonts w:ascii="Aptos" w:hAnsi="Aptos" w:cs="Arial"/>
                <w:sz w:val="20"/>
                <w:szCs w:val="20"/>
              </w:rPr>
              <w:t xml:space="preserve"> </w:t>
            </w:r>
          </w:p>
          <w:p w14:paraId="15B60425" w14:textId="345825E4" w:rsidR="00FE69E8" w:rsidRPr="00373798" w:rsidRDefault="00FE69E8" w:rsidP="00FE69E8">
            <w:pPr>
              <w:rPr>
                <w:rFonts w:ascii="Aptos" w:hAnsi="Aptos" w:cs="Arial"/>
                <w:sz w:val="20"/>
                <w:szCs w:val="20"/>
              </w:rPr>
            </w:pPr>
            <w:r w:rsidRPr="00373798">
              <w:rPr>
                <w:rFonts w:ascii="Aptos" w:hAnsi="Aptos" w:cs="Arial"/>
                <w:sz w:val="20"/>
                <w:szCs w:val="20"/>
              </w:rPr>
              <w:t xml:space="preserve">This species would comprise eleven </w:t>
            </w:r>
            <w:proofErr w:type="spellStart"/>
            <w:r w:rsidR="00736436">
              <w:rPr>
                <w:rFonts w:ascii="Aptos" w:hAnsi="Aptos" w:cs="Arial"/>
                <w:sz w:val="20"/>
                <w:szCs w:val="20"/>
              </w:rPr>
              <w:t>subspecies</w:t>
            </w:r>
            <w:r w:rsidRPr="00373798">
              <w:rPr>
                <w:rFonts w:ascii="Aptos" w:hAnsi="Aptos" w:cs="Arial"/>
                <w:sz w:val="20"/>
                <w:szCs w:val="20"/>
              </w:rPr>
              <w:t>s</w:t>
            </w:r>
            <w:proofErr w:type="spellEnd"/>
            <w:r w:rsidRPr="00373798">
              <w:rPr>
                <w:rFonts w:ascii="Aptos" w:hAnsi="Aptos" w:cs="Arial"/>
                <w:sz w:val="20"/>
                <w:szCs w:val="20"/>
              </w:rPr>
              <w:t>, delineated by a uniform 10% nucleotide divergence cut</w:t>
            </w:r>
            <w:r w:rsidRPr="00373798">
              <w:rPr>
                <w:rFonts w:ascii="Cambria Math" w:hAnsi="Cambria Math" w:cs="Cambria Math"/>
                <w:sz w:val="20"/>
                <w:szCs w:val="20"/>
              </w:rPr>
              <w:t>‑</w:t>
            </w:r>
            <w:r w:rsidRPr="00373798">
              <w:rPr>
                <w:rFonts w:ascii="Aptos" w:hAnsi="Aptos" w:cs="Arial"/>
                <w:sz w:val="20"/>
                <w:szCs w:val="20"/>
              </w:rPr>
              <w:t>off over the complete ORF</w:t>
            </w:r>
            <w:r w:rsidR="00025423" w:rsidRPr="00373798">
              <w:rPr>
                <w:rFonts w:ascii="Aptos" w:hAnsi="Aptos" w:cs="Arial"/>
                <w:sz w:val="20"/>
                <w:szCs w:val="20"/>
              </w:rPr>
              <w:t xml:space="preserve"> </w:t>
            </w:r>
            <w:r w:rsidR="00025423" w:rsidRPr="00373798">
              <w:rPr>
                <w:rFonts w:ascii="Aptos" w:hAnsi="Aptos" w:cs="Arial"/>
                <w:sz w:val="20"/>
                <w:szCs w:val="20"/>
              </w:rPr>
              <w:fldChar w:fldCharType="begin" w:fldLock="1"/>
            </w:r>
            <w:r w:rsidR="005415FA" w:rsidRPr="00373798">
              <w:rPr>
                <w:rFonts w:ascii="Aptos" w:hAnsi="Aptos" w:cs="Arial"/>
                <w:sz w:val="20"/>
                <w:szCs w:val="20"/>
              </w:rPr>
              <w:instrText>ADDIN CSL_CITATION {"citationItems":[{"id":"ITEM-1","itemData":{"DOI":"10.3390/v12111240","ISSN":"1999-4915","abstract":"Currently, the lowest formal taxon in virus classification is species; however, unofficial lower-level units are commonly used in everyday work. Tick-borne encephalitis virus (TBEV) is a species of mammalian tick-borne flaviviruses that may cause encephalitis. Many known representatives of TBEV are grouped into subtypes, mostly according to their phylogenetic relationship. However, the emergence of novel sequences could dissolve this phylogenetic grouping; in the absence of strict quantitative criterion, it may be hard to define the borders of the first TBEV taxonomic unit below the species level. In this study, the nucleotide/amino-acid space of all known TBEV sequences was analyzed. Amino-acid sequence p-distances could not reliably distinguish TBEV subtypes. Viruses that differed by less than 10% of nucleotides in the polyprotein-coding gene belonged to the same subtype. At the same time, more divergent viruses were representatives of different subtypes. According to this distance criterion, TBEV species may be divided into seven subtypes: TBEV-Eur, TBEV-Sib, TBEV-FE, TBEV-2871 (TBEV-Ob), TBEV-Him, TBEV-178-79 (TBEV-Bkl-1), and TBEV-886-84 (TBEV-Bkl-2).","author":[{"dropping-particle":"","family":"Deviatkin","given":"Andrei A","non-dropping-particle":"","parse-names":false,"suffix":""},{"dropping-particle":"","family":"Karganova","given":"Galina G","non-dropping-particle":"","parse-names":false,"suffix":""},{"dropping-particle":"","family":"Vakulenko","given":"Yulia A","non-dropping-particle":"","parse-names":false,"suffix":""},{"dropping-particle":"","family":"Lukashev","given":"Alexander N","non-dropping-particle":"","parse-names":false,"suffix":""}],"container-title":"Viruses","id":"ITEM-1","issue":"11","issued":{"date-parts":[["2020","10","31"]]},"page":"1240","title":"TBEV Subtyping in Terms of Genetic Distance","type":"article-journal","volume":"12"},"uris":["http://www.mendeley.com/documents/?uuid=68091133-109e-4f73-80be-ae81459fdc4b"]},{"id":"ITEM-2","itemData":{"DOI":"10.3390/v16101554","ISSN":"1999-4915","abstract":"Orthoflaviviruses are arthropod-borne viruses that are transmitted by mosquitoes or ticks and cause a range of significant human diseases. Among the most important tick-borne orthoflaviviruses (TBFVs) is tick-borne encephalitis virus (TBEV), which is endemic in Eurasia, and Powassan virus, which is endemic in Asia and North America. There is a significant controversy regarding species assignment in the tick-borne encephalitis virus complex due to the complex phylogenetic, serological, ecological, and pathogenetic properties of viruses. Comparing the rate of non-synonymous to synonymous substitutions (dN/dS) over the course of tick-borne orthoflavivirus diversification suggests that there is a very strong stabilizing selection (Nei-Gojobori dN/dS &lt; 0.1) among tick-borne orthoflaviviruses that differ by less than 13.5% amino acid/21.4% nucleotide sequences, and discretely more rapid accumulation of non-synonymous substitutions (dN/dS &gt; 0.13) among more divergent viruses that belong to distinct species. This pattern was similarly observed in genome regions encoding structural (E) and non-structural (NS3) proteins. Below this distance threshold, viruses appear fit and strongly tied to their ecological niche, whereas above the threshold, a greater degree of adaptation appears necessary. This species criterion suggests that all subtypes of TBEV, all related ovine/caprine encephalomyelitis viruses, and Omsk hemorrhagic fever virus (OHFV) together correspond to a single species. Within this species, viruses make up 11 subtypes that are reliably segregated by a 10% nucleotide distance cut-off suggested earlier for TBEV. The same 10% subtype cut-off suggests that Powassan virus includes two subtypes, Powassan and Deer Tick virus.","author":[{"dropping-particle":"","family":"Deviatkin","given":"Andrei A","non-dropping-particle":"","parse-names":false,"suffix":""},{"dropping-particle":"","family":"Aleshina","given":"Yulia A","non-dropping-particle":"","parse-names":false,"suffix":""},{"dropping-particle":"","family":"Karganova","given":"Galina G","non-dropping-particle":"","parse-names":false,"suffix":""},{"dropping-particle":"","family":"Lukashev","given":"Alexander N","non-dropping-particle":"","parse-names":false,"suffix":""}],"container-title":"Viruses","id":"ITEM-2","issue":"10","issued":{"date-parts":[["2024","9","30"]]},"page":"1554","title":"Selection Pressure Profile Suggests Species Criteria among Tick-Borne Orthoflaviviruses","type":"article-journal","volume":"16"},"uris":["http://www.mendeley.com/documents/?uuid=3ce1ce96-6ba7-42f2-884a-f00f15a74e55"]}],"mendeley":{"formattedCitation":"[1, 13]","plainTextFormattedCitation":"[1, 13]","previouslyFormattedCitation":"[1, 13]"},"properties":{"noteIndex":0},"schema":"https://github.com/citation-style-language/schema/raw/master/csl-citation.json"}</w:instrText>
            </w:r>
            <w:r w:rsidR="00025423" w:rsidRPr="00373798">
              <w:rPr>
                <w:rFonts w:ascii="Aptos" w:hAnsi="Aptos" w:cs="Arial"/>
                <w:sz w:val="20"/>
                <w:szCs w:val="20"/>
              </w:rPr>
              <w:fldChar w:fldCharType="separate"/>
            </w:r>
            <w:r w:rsidR="00025423" w:rsidRPr="00373798">
              <w:rPr>
                <w:rFonts w:ascii="Aptos" w:hAnsi="Aptos" w:cs="Arial"/>
                <w:noProof/>
                <w:sz w:val="20"/>
                <w:szCs w:val="20"/>
              </w:rPr>
              <w:t>[1, 13]</w:t>
            </w:r>
            <w:r w:rsidR="00025423" w:rsidRPr="00373798">
              <w:rPr>
                <w:rFonts w:ascii="Aptos" w:hAnsi="Aptos" w:cs="Arial"/>
                <w:sz w:val="20"/>
                <w:szCs w:val="20"/>
              </w:rPr>
              <w:fldChar w:fldCharType="end"/>
            </w:r>
            <w:r w:rsidRPr="00373798">
              <w:rPr>
                <w:rFonts w:ascii="Aptos" w:hAnsi="Aptos" w:cs="Arial"/>
                <w:sz w:val="20"/>
                <w:szCs w:val="20"/>
              </w:rPr>
              <w:t>:</w:t>
            </w:r>
          </w:p>
          <w:p w14:paraId="02C9ABE1" w14:textId="77777777" w:rsidR="00FE69E8" w:rsidRPr="00373798" w:rsidRDefault="00FE69E8" w:rsidP="00FE69E8">
            <w:pPr>
              <w:rPr>
                <w:rFonts w:ascii="Aptos" w:hAnsi="Aptos" w:cs="Arial"/>
                <w:sz w:val="20"/>
                <w:szCs w:val="20"/>
              </w:rPr>
            </w:pPr>
            <w:r w:rsidRPr="00373798">
              <w:rPr>
                <w:rFonts w:ascii="Aptos" w:hAnsi="Aptos" w:cs="Arial"/>
                <w:sz w:val="20"/>
                <w:szCs w:val="20"/>
              </w:rPr>
              <w:t>- seven TBEV subtypes: Eur, Sib, FE, Bkl</w:t>
            </w:r>
            <w:r w:rsidRPr="00373798">
              <w:rPr>
                <w:rFonts w:ascii="Cambria Math" w:hAnsi="Cambria Math" w:cs="Cambria Math"/>
                <w:sz w:val="20"/>
                <w:szCs w:val="20"/>
              </w:rPr>
              <w:t>‑</w:t>
            </w:r>
            <w:r w:rsidRPr="00373798">
              <w:rPr>
                <w:rFonts w:ascii="Aptos" w:hAnsi="Aptos" w:cs="Arial"/>
                <w:sz w:val="20"/>
                <w:szCs w:val="20"/>
              </w:rPr>
              <w:t>1, Bkl</w:t>
            </w:r>
            <w:r w:rsidRPr="00373798">
              <w:rPr>
                <w:rFonts w:ascii="Cambria Math" w:hAnsi="Cambria Math" w:cs="Cambria Math"/>
                <w:sz w:val="20"/>
                <w:szCs w:val="20"/>
              </w:rPr>
              <w:t>‑</w:t>
            </w:r>
            <w:r w:rsidRPr="00373798">
              <w:rPr>
                <w:rFonts w:ascii="Aptos" w:hAnsi="Aptos" w:cs="Arial"/>
                <w:sz w:val="20"/>
                <w:szCs w:val="20"/>
              </w:rPr>
              <w:t>2, Ob, and Him;</w:t>
            </w:r>
          </w:p>
          <w:p w14:paraId="0DD37F34" w14:textId="77777777" w:rsidR="00FE69E8" w:rsidRPr="00373798" w:rsidRDefault="00FE69E8" w:rsidP="00FE69E8">
            <w:pPr>
              <w:rPr>
                <w:rFonts w:ascii="Aptos" w:hAnsi="Aptos" w:cs="Arial"/>
                <w:sz w:val="20"/>
                <w:szCs w:val="20"/>
              </w:rPr>
            </w:pPr>
            <w:r w:rsidRPr="00373798">
              <w:rPr>
                <w:rFonts w:ascii="Aptos" w:hAnsi="Aptos" w:cs="Arial"/>
                <w:sz w:val="20"/>
                <w:szCs w:val="20"/>
              </w:rPr>
              <w:t>- LIV, including SSEV and SGEV;</w:t>
            </w:r>
          </w:p>
          <w:p w14:paraId="05C3A4AB" w14:textId="77777777" w:rsidR="00FE69E8" w:rsidRPr="00373798" w:rsidRDefault="00FE69E8" w:rsidP="00FE69E8">
            <w:pPr>
              <w:rPr>
                <w:rFonts w:ascii="Aptos" w:hAnsi="Aptos" w:cs="Arial"/>
                <w:sz w:val="20"/>
                <w:szCs w:val="20"/>
              </w:rPr>
            </w:pPr>
            <w:r w:rsidRPr="00373798">
              <w:rPr>
                <w:rFonts w:ascii="Aptos" w:hAnsi="Aptos" w:cs="Arial"/>
                <w:sz w:val="20"/>
                <w:szCs w:val="20"/>
              </w:rPr>
              <w:t>- TSEV, including GGEV;</w:t>
            </w:r>
          </w:p>
          <w:p w14:paraId="3D90F622" w14:textId="77777777" w:rsidR="00FE69E8" w:rsidRPr="00373798" w:rsidRDefault="00FE69E8" w:rsidP="00FE69E8">
            <w:pPr>
              <w:rPr>
                <w:rFonts w:ascii="Aptos" w:hAnsi="Aptos" w:cs="Arial"/>
                <w:sz w:val="20"/>
                <w:szCs w:val="20"/>
              </w:rPr>
            </w:pPr>
            <w:r w:rsidRPr="00373798">
              <w:rPr>
                <w:rFonts w:ascii="Aptos" w:hAnsi="Aptos" w:cs="Arial"/>
                <w:sz w:val="20"/>
                <w:szCs w:val="20"/>
              </w:rPr>
              <w:t>- two OHFV subtypes: OHFV</w:t>
            </w:r>
            <w:r w:rsidRPr="00373798">
              <w:rPr>
                <w:rFonts w:ascii="Cambria Math" w:hAnsi="Cambria Math" w:cs="Cambria Math"/>
                <w:sz w:val="20"/>
                <w:szCs w:val="20"/>
              </w:rPr>
              <w:t>‑</w:t>
            </w:r>
            <w:r w:rsidRPr="00373798">
              <w:rPr>
                <w:rFonts w:ascii="Aptos" w:hAnsi="Aptos" w:cs="Arial"/>
                <w:sz w:val="20"/>
                <w:szCs w:val="20"/>
              </w:rPr>
              <w:t>1 and OHFV</w:t>
            </w:r>
            <w:r w:rsidRPr="00373798">
              <w:rPr>
                <w:rFonts w:ascii="Cambria Math" w:hAnsi="Cambria Math" w:cs="Cambria Math"/>
                <w:sz w:val="20"/>
                <w:szCs w:val="20"/>
              </w:rPr>
              <w:t>‑</w:t>
            </w:r>
            <w:r w:rsidRPr="00373798">
              <w:rPr>
                <w:rFonts w:ascii="Aptos" w:hAnsi="Aptos" w:cs="Arial"/>
                <w:sz w:val="20"/>
                <w:szCs w:val="20"/>
              </w:rPr>
              <w:t>2.</w:t>
            </w:r>
          </w:p>
          <w:p w14:paraId="0ACA8579" w14:textId="03FCA224" w:rsidR="00A77B8E" w:rsidRPr="00373798" w:rsidRDefault="00025423" w:rsidP="00FE69E8">
            <w:pPr>
              <w:rPr>
                <w:rFonts w:ascii="Aptos" w:hAnsi="Aptos" w:cs="Arial"/>
                <w:sz w:val="20"/>
                <w:szCs w:val="20"/>
              </w:rPr>
            </w:pPr>
            <w:r w:rsidRPr="00373798">
              <w:rPr>
                <w:rFonts w:ascii="Aptos" w:hAnsi="Aptos" w:cs="Arial"/>
                <w:sz w:val="20"/>
                <w:szCs w:val="20"/>
              </w:rPr>
              <w:t>This framework keeps the entire TBEV-OHFV clade monophyletic and reflects biological diversity at the subspecies level</w:t>
            </w:r>
            <w:r w:rsidR="00FE69E8" w:rsidRPr="00373798">
              <w:rPr>
                <w:rFonts w:ascii="Aptos" w:hAnsi="Aptos" w:cs="Arial"/>
                <w:sz w:val="20"/>
                <w:szCs w:val="20"/>
              </w:rPr>
              <w:t>.</w:t>
            </w:r>
          </w:p>
          <w:p w14:paraId="166F20E4" w14:textId="4C8E57FA" w:rsidR="00A77B8E" w:rsidRPr="00373798" w:rsidRDefault="00A77B8E" w:rsidP="00DD58AA">
            <w:pPr>
              <w:rPr>
                <w:rFonts w:ascii="Aptos" w:hAnsi="Aptos" w:cs="Arial"/>
                <w:sz w:val="20"/>
                <w:szCs w:val="20"/>
              </w:rPr>
            </w:pPr>
          </w:p>
          <w:p w14:paraId="24E7B523" w14:textId="77777777" w:rsidR="00C20F4D" w:rsidRPr="00373798" w:rsidRDefault="00C20F4D" w:rsidP="00C20F4D">
            <w:pPr>
              <w:rPr>
                <w:rFonts w:ascii="Aptos" w:hAnsi="Aptos" w:cs="Arial"/>
                <w:i/>
                <w:sz w:val="20"/>
                <w:szCs w:val="20"/>
              </w:rPr>
            </w:pPr>
            <w:r w:rsidRPr="00373798">
              <w:rPr>
                <w:rFonts w:ascii="Aptos" w:hAnsi="Aptos" w:cs="Arial"/>
                <w:i/>
                <w:sz w:val="20"/>
                <w:szCs w:val="20"/>
              </w:rPr>
              <w:t>Demarcation criteria for new taxa:</w:t>
            </w:r>
          </w:p>
          <w:p w14:paraId="3472DAF6" w14:textId="31A7C561" w:rsidR="00A54528" w:rsidRPr="00373798" w:rsidRDefault="001155F8" w:rsidP="00A54528">
            <w:pPr>
              <w:rPr>
                <w:rFonts w:ascii="Aptos" w:hAnsi="Aptos" w:cs="Arial"/>
                <w:sz w:val="20"/>
                <w:szCs w:val="20"/>
              </w:rPr>
            </w:pPr>
            <w:r w:rsidRPr="001155F8">
              <w:rPr>
                <w:rFonts w:ascii="Aptos" w:hAnsi="Aptos" w:cs="Arial"/>
                <w:sz w:val="20"/>
                <w:szCs w:val="20"/>
              </w:rPr>
              <w:t xml:space="preserve">The proposed species boundary is supported by quantitative thresholds applied to the complete polyprotein. </w:t>
            </w:r>
            <w:r w:rsidR="00A54528" w:rsidRPr="00373798">
              <w:rPr>
                <w:rFonts w:ascii="Aptos" w:hAnsi="Aptos" w:cs="Arial"/>
                <w:sz w:val="20"/>
                <w:szCs w:val="20"/>
              </w:rPr>
              <w:t xml:space="preserve">The classification of </w:t>
            </w:r>
            <w:r w:rsidR="000600E4">
              <w:rPr>
                <w:rFonts w:ascii="Aptos" w:hAnsi="Aptos" w:cs="Arial"/>
                <w:sz w:val="20"/>
                <w:szCs w:val="20"/>
              </w:rPr>
              <w:t>a</w:t>
            </w:r>
            <w:r w:rsidR="00A54528" w:rsidRPr="00373798">
              <w:rPr>
                <w:rFonts w:ascii="Aptos" w:hAnsi="Aptos" w:cs="Arial"/>
                <w:sz w:val="20"/>
                <w:szCs w:val="20"/>
              </w:rPr>
              <w:t xml:space="preserve"> virus as belonging to </w:t>
            </w:r>
            <w:r w:rsidR="00564475">
              <w:rPr>
                <w:rFonts w:ascii="Aptos" w:hAnsi="Aptos" w:cs="Arial"/>
                <w:sz w:val="20"/>
                <w:szCs w:val="20"/>
              </w:rPr>
              <w:t>“</w:t>
            </w:r>
            <w:r w:rsidR="00A54528" w:rsidRPr="00E665BA">
              <w:rPr>
                <w:rFonts w:ascii="Aptos" w:hAnsi="Aptos" w:cs="Arial"/>
                <w:i/>
                <w:iCs/>
                <w:sz w:val="20"/>
                <w:szCs w:val="20"/>
              </w:rPr>
              <w:t xml:space="preserve">Orthoflavivirus </w:t>
            </w:r>
            <w:proofErr w:type="spellStart"/>
            <w:r w:rsidR="00A54528" w:rsidRPr="00E665BA">
              <w:rPr>
                <w:rFonts w:ascii="Aptos" w:hAnsi="Aptos" w:cs="Arial"/>
                <w:i/>
                <w:iCs/>
                <w:sz w:val="20"/>
                <w:szCs w:val="20"/>
              </w:rPr>
              <w:t>eurasiaticus</w:t>
            </w:r>
            <w:proofErr w:type="spellEnd"/>
            <w:r w:rsidR="00564475">
              <w:rPr>
                <w:rFonts w:ascii="Aptos" w:hAnsi="Aptos" w:cs="Arial"/>
                <w:i/>
                <w:iCs/>
                <w:sz w:val="20"/>
                <w:szCs w:val="20"/>
              </w:rPr>
              <w:t>”</w:t>
            </w:r>
            <w:r w:rsidR="00A54528" w:rsidRPr="00373798">
              <w:rPr>
                <w:rFonts w:ascii="Aptos" w:hAnsi="Aptos" w:cs="Arial"/>
                <w:sz w:val="20"/>
                <w:szCs w:val="20"/>
              </w:rPr>
              <w:t xml:space="preserve"> is determined by </w:t>
            </w:r>
            <w:r w:rsidR="000600E4">
              <w:rPr>
                <w:rFonts w:ascii="Aptos" w:hAnsi="Aptos" w:cs="Arial"/>
                <w:sz w:val="20"/>
                <w:szCs w:val="20"/>
              </w:rPr>
              <w:t>its</w:t>
            </w:r>
            <w:r w:rsidR="00A54528" w:rsidRPr="00373798">
              <w:rPr>
                <w:rFonts w:ascii="Aptos" w:hAnsi="Aptos" w:cs="Arial"/>
                <w:sz w:val="20"/>
                <w:szCs w:val="20"/>
              </w:rPr>
              <w:t xml:space="preserve"> uncorrected nucleotide divergence being below 23% and uncorrected amino acid divergence being below 14%</w:t>
            </w:r>
            <w:r w:rsidR="00B47E3F">
              <w:rPr>
                <w:rFonts w:ascii="Aptos" w:hAnsi="Aptos" w:cs="Arial"/>
                <w:sz w:val="20"/>
                <w:szCs w:val="20"/>
              </w:rPr>
              <w:t xml:space="preserve"> to the established species members</w:t>
            </w:r>
            <w:r w:rsidR="00A54528" w:rsidRPr="00373798">
              <w:rPr>
                <w:rFonts w:ascii="Aptos" w:hAnsi="Aptos" w:cs="Arial"/>
                <w:sz w:val="20"/>
                <w:szCs w:val="20"/>
              </w:rPr>
              <w:t>. These thresholds represent practical rounded criteria selected within the observed separation ranges between intra- and interspecific comparisons. If either value exceeds these thresholds, the viruses are considered candidates for separate species assignment and should be evaluated together with the remaining ICTV criteria.</w:t>
            </w:r>
          </w:p>
          <w:p w14:paraId="7AAFDBF8" w14:textId="2AF3BADB" w:rsidR="00A54528" w:rsidRPr="00373798" w:rsidRDefault="00074589" w:rsidP="00A54528">
            <w:pPr>
              <w:rPr>
                <w:rFonts w:ascii="Aptos" w:hAnsi="Aptos" w:cs="Arial"/>
                <w:sz w:val="20"/>
                <w:szCs w:val="20"/>
              </w:rPr>
            </w:pPr>
            <w:r w:rsidRPr="00373798">
              <w:rPr>
                <w:rFonts w:ascii="Aptos" w:hAnsi="Aptos" w:cs="Arial"/>
                <w:sz w:val="20"/>
                <w:szCs w:val="20"/>
              </w:rPr>
              <w:t xml:space="preserve">In addition, these cut-offs are supported by pairwise polyprotein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ratios calculated using the </w:t>
            </w:r>
            <w:proofErr w:type="spellStart"/>
            <w:r w:rsidRPr="00373798">
              <w:rPr>
                <w:rFonts w:ascii="Aptos" w:hAnsi="Aptos" w:cs="Arial"/>
                <w:sz w:val="20"/>
                <w:szCs w:val="20"/>
              </w:rPr>
              <w:t>Nei</w:t>
            </w:r>
            <w:proofErr w:type="spellEnd"/>
            <w:r w:rsidRPr="00373798">
              <w:rPr>
                <w:rFonts w:ascii="Aptos" w:hAnsi="Aptos" w:cs="Arial"/>
                <w:sz w:val="20"/>
                <w:szCs w:val="20"/>
              </w:rPr>
              <w:t>–</w:t>
            </w:r>
            <w:proofErr w:type="spellStart"/>
            <w:r w:rsidRPr="00373798">
              <w:rPr>
                <w:rFonts w:ascii="Aptos" w:hAnsi="Aptos" w:cs="Arial"/>
                <w:sz w:val="20"/>
                <w:szCs w:val="20"/>
              </w:rPr>
              <w:t>Gojobori</w:t>
            </w:r>
            <w:proofErr w:type="spellEnd"/>
            <w:r w:rsidRPr="00373798">
              <w:rPr>
                <w:rFonts w:ascii="Aptos" w:hAnsi="Aptos" w:cs="Arial"/>
                <w:sz w:val="20"/>
                <w:szCs w:val="20"/>
              </w:rPr>
              <w:t xml:space="preserve"> method, with values below approximately 0.11. </w:t>
            </w:r>
            <w:r w:rsidR="001155F8" w:rsidRPr="001155F8">
              <w:rPr>
                <w:rFonts w:ascii="Aptos" w:hAnsi="Aptos" w:cs="Arial"/>
                <w:sz w:val="20"/>
                <w:szCs w:val="20"/>
              </w:rPr>
              <w:t xml:space="preserve">Such low </w:t>
            </w:r>
            <w:proofErr w:type="spellStart"/>
            <w:r w:rsidR="001155F8" w:rsidRPr="001155F8">
              <w:rPr>
                <w:rFonts w:ascii="Aptos" w:hAnsi="Aptos" w:cs="Arial"/>
                <w:sz w:val="20"/>
                <w:szCs w:val="20"/>
              </w:rPr>
              <w:t>dN</w:t>
            </w:r>
            <w:proofErr w:type="spellEnd"/>
            <w:r w:rsidR="001155F8" w:rsidRPr="001155F8">
              <w:rPr>
                <w:rFonts w:ascii="Aptos" w:hAnsi="Aptos" w:cs="Arial"/>
                <w:sz w:val="20"/>
                <w:szCs w:val="20"/>
              </w:rPr>
              <w:t>/</w:t>
            </w:r>
            <w:proofErr w:type="spellStart"/>
            <w:r w:rsidR="001155F8" w:rsidRPr="001155F8">
              <w:rPr>
                <w:rFonts w:ascii="Aptos" w:hAnsi="Aptos" w:cs="Arial"/>
                <w:sz w:val="20"/>
                <w:szCs w:val="20"/>
              </w:rPr>
              <w:t>dS</w:t>
            </w:r>
            <w:proofErr w:type="spellEnd"/>
            <w:r w:rsidR="001155F8" w:rsidRPr="001155F8">
              <w:rPr>
                <w:rFonts w:ascii="Aptos" w:hAnsi="Aptos" w:cs="Arial"/>
                <w:sz w:val="20"/>
                <w:szCs w:val="20"/>
              </w:rPr>
              <w:t xml:space="preserve"> values indicate strong purifying selection, which is compatible with diversification within a single species.</w:t>
            </w:r>
            <w:r w:rsidR="00A54528" w:rsidRPr="00373798">
              <w:rPr>
                <w:rFonts w:ascii="Aptos" w:hAnsi="Aptos" w:cs="Arial"/>
                <w:sz w:val="20"/>
                <w:szCs w:val="20"/>
              </w:rPr>
              <w:t xml:space="preserve"> The proposed framework maintains monophyly within this group of viruses and is consistent with the remaining ICTV criteria (antigenic characteristics, geographic distribution, vector and host associations, disease association, and ecological characteristics; https://ictv.global/report/chapter/flaviviridae/flaviviridae/orthoflavivirus) when considered collectively.</w:t>
            </w:r>
          </w:p>
          <w:p w14:paraId="103FA1E2" w14:textId="34B27BAA" w:rsidR="005B392F" w:rsidRPr="00373798" w:rsidRDefault="00A54528" w:rsidP="00A54528">
            <w:pPr>
              <w:rPr>
                <w:rFonts w:ascii="Aptos" w:hAnsi="Aptos" w:cs="Arial"/>
                <w:sz w:val="20"/>
                <w:szCs w:val="20"/>
              </w:rPr>
            </w:pPr>
            <w:r w:rsidRPr="00373798">
              <w:rPr>
                <w:rFonts w:ascii="Aptos" w:hAnsi="Aptos" w:cs="Arial"/>
                <w:sz w:val="20"/>
                <w:szCs w:val="20"/>
              </w:rPr>
              <w:t xml:space="preserve">These thresholds are proposed as practical, empirically derived </w:t>
            </w:r>
            <w:r w:rsidRPr="00E665BA">
              <w:rPr>
                <w:rFonts w:ascii="Aptos" w:hAnsi="Aptos" w:cs="Arial"/>
                <w:i/>
                <w:iCs/>
                <w:sz w:val="20"/>
                <w:szCs w:val="20"/>
              </w:rPr>
              <w:t>ad hoc</w:t>
            </w:r>
            <w:r w:rsidRPr="00373798">
              <w:rPr>
                <w:rFonts w:ascii="Aptos" w:hAnsi="Aptos" w:cs="Arial"/>
                <w:sz w:val="20"/>
                <w:szCs w:val="20"/>
              </w:rPr>
              <w:t xml:space="preserve"> guidelines rather than absolute boundaries. Species boundaries in biology are inherently conditional, and all currently recognized orthoflavivirus taxa share common ancestry and have diverged through gradual accumulation of substitutions. Transitional forms between </w:t>
            </w:r>
            <w:proofErr w:type="spellStart"/>
            <w:r w:rsidR="00736436">
              <w:rPr>
                <w:rFonts w:ascii="Aptos" w:hAnsi="Aptos" w:cs="Arial"/>
                <w:sz w:val="20"/>
                <w:szCs w:val="20"/>
              </w:rPr>
              <w:t>subspecies</w:t>
            </w:r>
            <w:r w:rsidRPr="00373798">
              <w:rPr>
                <w:rFonts w:ascii="Aptos" w:hAnsi="Aptos" w:cs="Arial"/>
                <w:sz w:val="20"/>
                <w:szCs w:val="20"/>
              </w:rPr>
              <w:t>s</w:t>
            </w:r>
            <w:proofErr w:type="spellEnd"/>
            <w:r w:rsidRPr="00373798">
              <w:rPr>
                <w:rFonts w:ascii="Aptos" w:hAnsi="Aptos" w:cs="Arial"/>
                <w:sz w:val="20"/>
                <w:szCs w:val="20"/>
              </w:rPr>
              <w:t xml:space="preserve"> and between species are therefore expected. As new sequences emerge, some may approach or exceed the proposed thresholds. Such cases do not invalidate the criteria but demonstrate the need to consider all available evidence together, as recommended by ICTV. </w:t>
            </w:r>
            <w:r w:rsidR="001155F8" w:rsidRPr="001155F8">
              <w:rPr>
                <w:rFonts w:ascii="Aptos" w:hAnsi="Aptos" w:cs="Arial"/>
                <w:sz w:val="20"/>
                <w:szCs w:val="20"/>
              </w:rPr>
              <w:t xml:space="preserve">A key supporting observation is the shift in pairwise </w:t>
            </w:r>
            <w:proofErr w:type="spellStart"/>
            <w:r w:rsidR="001155F8" w:rsidRPr="001155F8">
              <w:rPr>
                <w:rFonts w:ascii="Aptos" w:hAnsi="Aptos" w:cs="Arial"/>
                <w:sz w:val="20"/>
                <w:szCs w:val="20"/>
              </w:rPr>
              <w:t>dN</w:t>
            </w:r>
            <w:proofErr w:type="spellEnd"/>
            <w:r w:rsidR="001155F8" w:rsidRPr="001155F8">
              <w:rPr>
                <w:rFonts w:ascii="Aptos" w:hAnsi="Aptos" w:cs="Arial"/>
                <w:sz w:val="20"/>
                <w:szCs w:val="20"/>
              </w:rPr>
              <w:t>/</w:t>
            </w:r>
            <w:proofErr w:type="spellStart"/>
            <w:r w:rsidR="001155F8" w:rsidRPr="001155F8">
              <w:rPr>
                <w:rFonts w:ascii="Aptos" w:hAnsi="Aptos" w:cs="Arial"/>
                <w:sz w:val="20"/>
                <w:szCs w:val="20"/>
              </w:rPr>
              <w:t>dS</w:t>
            </w:r>
            <w:proofErr w:type="spellEnd"/>
            <w:r w:rsidR="001155F8" w:rsidRPr="001155F8">
              <w:rPr>
                <w:rFonts w:ascii="Aptos" w:hAnsi="Aptos" w:cs="Arial"/>
                <w:sz w:val="20"/>
                <w:szCs w:val="20"/>
              </w:rPr>
              <w:t xml:space="preserve"> values, reflecting a change in the balance between synonymous and nonsynonymous substitutions and suggesting a transition in selective constraints</w:t>
            </w:r>
            <w:r w:rsidR="00B47E3F">
              <w:rPr>
                <w:rFonts w:ascii="Aptos" w:hAnsi="Aptos" w:cs="Arial"/>
                <w:sz w:val="20"/>
                <w:szCs w:val="20"/>
              </w:rPr>
              <w:t xml:space="preserve"> and a significant change of an ecological niche</w:t>
            </w:r>
            <w:r w:rsidR="001155F8" w:rsidRPr="001155F8">
              <w:rPr>
                <w:rFonts w:ascii="Aptos" w:hAnsi="Aptos" w:cs="Arial"/>
                <w:sz w:val="20"/>
                <w:szCs w:val="20"/>
              </w:rPr>
              <w:t xml:space="preserve">. </w:t>
            </w:r>
            <w:r w:rsidRPr="00373798">
              <w:rPr>
                <w:rFonts w:ascii="Aptos" w:hAnsi="Aptos" w:cs="Arial"/>
                <w:sz w:val="20"/>
                <w:szCs w:val="20"/>
              </w:rPr>
              <w:t>Any quantitative threshold may be exceeded in individual comparisons; therefore, exceptions should be evaluated case-by-case using the full set of ICTV criteria rather than any single threshold alone.</w:t>
            </w:r>
          </w:p>
          <w:p w14:paraId="62D1E6A0" w14:textId="77777777" w:rsidR="00A54528" w:rsidRPr="00373798" w:rsidRDefault="00A54528" w:rsidP="00A54528">
            <w:pPr>
              <w:rPr>
                <w:rFonts w:ascii="Aptos" w:hAnsi="Aptos" w:cs="Arial"/>
                <w:sz w:val="20"/>
                <w:szCs w:val="20"/>
              </w:rPr>
            </w:pPr>
          </w:p>
          <w:p w14:paraId="404D8B91" w14:textId="1994C964" w:rsidR="00A77B8E" w:rsidRPr="00373798" w:rsidRDefault="00A77B8E" w:rsidP="00DD58AA">
            <w:pPr>
              <w:rPr>
                <w:rFonts w:ascii="Aptos" w:hAnsi="Aptos" w:cs="Arial"/>
                <w:sz w:val="20"/>
                <w:szCs w:val="20"/>
              </w:rPr>
            </w:pPr>
            <w:r w:rsidRPr="00373798">
              <w:rPr>
                <w:rFonts w:ascii="Aptos" w:hAnsi="Aptos" w:cs="Arial"/>
                <w:i/>
                <w:sz w:val="20"/>
                <w:szCs w:val="20"/>
              </w:rPr>
              <w:t>Justification</w:t>
            </w:r>
            <w:r w:rsidRPr="00373798">
              <w:rPr>
                <w:rFonts w:ascii="Aptos" w:hAnsi="Aptos" w:cs="Arial"/>
                <w:sz w:val="20"/>
                <w:szCs w:val="20"/>
              </w:rPr>
              <w:t xml:space="preserve">: </w:t>
            </w:r>
          </w:p>
          <w:p w14:paraId="088F71DC" w14:textId="679EDF52" w:rsidR="00A15D4A" w:rsidRPr="00373798" w:rsidRDefault="00A15D4A" w:rsidP="00DD58AA">
            <w:pPr>
              <w:rPr>
                <w:rFonts w:ascii="Aptos" w:hAnsi="Aptos" w:cs="Arial"/>
                <w:sz w:val="20"/>
                <w:szCs w:val="20"/>
              </w:rPr>
            </w:pPr>
            <w:r w:rsidRPr="00373798">
              <w:rPr>
                <w:rFonts w:ascii="Aptos" w:hAnsi="Aptos" w:cs="Arial"/>
                <w:sz w:val="20"/>
                <w:szCs w:val="20"/>
              </w:rPr>
              <w:t>The recent ICTV decision (</w:t>
            </w:r>
            <w:proofErr w:type="gramStart"/>
            <w:r w:rsidRPr="00373798">
              <w:rPr>
                <w:rFonts w:ascii="Aptos" w:hAnsi="Aptos" w:cs="Arial"/>
                <w:sz w:val="20"/>
                <w:szCs w:val="20"/>
              </w:rPr>
              <w:t>2025.007S.A</w:t>
            </w:r>
            <w:proofErr w:type="gramEnd"/>
            <w:r w:rsidRPr="00373798">
              <w:rPr>
                <w:rFonts w:ascii="Aptos" w:hAnsi="Aptos" w:cs="Arial"/>
                <w:sz w:val="20"/>
                <w:szCs w:val="20"/>
              </w:rPr>
              <w:t>.v3.Orthoflavivirus_2nsp_1spren) provides clarification on the taxonomy of this complex group of viruses. However, we believe that some aspects of this decision merit reconsideration, and our proposed alternative represents a more consistent, evolutionarily sound, and practically convenient approach to classifying viruses that cause tick-borne encephalitis.</w:t>
            </w:r>
          </w:p>
          <w:p w14:paraId="7654FE3C" w14:textId="58D3F574" w:rsidR="005415FA" w:rsidRPr="00373798" w:rsidRDefault="005415FA" w:rsidP="00DD58AA">
            <w:pPr>
              <w:rPr>
                <w:rFonts w:ascii="Aptos" w:hAnsi="Aptos" w:cs="Arial"/>
                <w:sz w:val="20"/>
                <w:szCs w:val="20"/>
              </w:rPr>
            </w:pPr>
            <w:r w:rsidRPr="00373798">
              <w:rPr>
                <w:rFonts w:ascii="Aptos" w:hAnsi="Aptos" w:cs="Arial"/>
                <w:sz w:val="20"/>
                <w:szCs w:val="20"/>
              </w:rPr>
              <w:t xml:space="preserve">Evolutionary patterns among viruses of the TBEV group indicate that a single species, </w:t>
            </w:r>
            <w:r w:rsidR="00564475">
              <w:rPr>
                <w:rFonts w:ascii="Aptos" w:hAnsi="Aptos" w:cs="Arial"/>
                <w:sz w:val="20"/>
                <w:szCs w:val="20"/>
              </w:rPr>
              <w:t>“</w:t>
            </w:r>
            <w:r w:rsidRPr="007D554B">
              <w:rPr>
                <w:rFonts w:ascii="Aptos" w:hAnsi="Aptos" w:cs="Arial"/>
                <w:i/>
                <w:iCs/>
                <w:sz w:val="20"/>
                <w:szCs w:val="20"/>
              </w:rPr>
              <w:t xml:space="preserve">Orthoflavivirus </w:t>
            </w:r>
            <w:proofErr w:type="spellStart"/>
            <w:r w:rsidRPr="007D554B">
              <w:rPr>
                <w:rFonts w:ascii="Aptos" w:hAnsi="Aptos" w:cs="Arial"/>
                <w:i/>
                <w:iCs/>
                <w:sz w:val="20"/>
                <w:szCs w:val="20"/>
              </w:rPr>
              <w:lastRenderedPageBreak/>
              <w:t>eurasiaticus</w:t>
            </w:r>
            <w:proofErr w:type="spellEnd"/>
            <w:r w:rsidR="00564475">
              <w:rPr>
                <w:rFonts w:ascii="Aptos" w:hAnsi="Aptos" w:cs="Arial"/>
                <w:i/>
                <w:iCs/>
                <w:sz w:val="20"/>
                <w:szCs w:val="20"/>
              </w:rPr>
              <w:t>”</w:t>
            </w:r>
            <w:r w:rsidRPr="00373798">
              <w:rPr>
                <w:rFonts w:ascii="Aptos" w:hAnsi="Aptos" w:cs="Arial"/>
                <w:sz w:val="20"/>
                <w:szCs w:val="20"/>
              </w:rPr>
              <w:t xml:space="preserve">, can be defined using a set of criteria </w:t>
            </w:r>
            <w:r w:rsidRPr="00373798">
              <w:rPr>
                <w:rFonts w:ascii="Aptos" w:hAnsi="Aptos" w:cs="Arial"/>
                <w:sz w:val="20"/>
                <w:szCs w:val="20"/>
              </w:rPr>
              <w:fldChar w:fldCharType="begin" w:fldLock="1"/>
            </w:r>
            <w:r w:rsidRPr="00373798">
              <w:rPr>
                <w:rFonts w:ascii="Aptos" w:hAnsi="Aptos" w:cs="Arial"/>
                <w:sz w:val="20"/>
                <w:szCs w:val="20"/>
              </w:rPr>
              <w:instrText>ADDIN CSL_CITATION {"citationItems":[{"id":"ITEM-1","itemData":{"DOI":"10.3390/v16101554","ISSN":"1999-4915","abstract":"Orthoflaviviruses are arthropod-borne viruses that are transmitted by mosquitoes or ticks and cause a range of significant human diseases. Among the most important tick-borne orthoflaviviruses (TBFVs) is tick-borne encephalitis virus (TBEV), which is endemic in Eurasia, and Powassan virus, which is endemic in Asia and North America. There is a significant controversy regarding species assignment in the tick-borne encephalitis virus complex due to the complex phylogenetic, serological, ecological, and pathogenetic properties of viruses. Comparing the rate of non-synonymous to synonymous substitutions (dN/dS) over the course of tick-borne orthoflavivirus diversification suggests that there is a very strong stabilizing selection (Nei-Gojobori dN/dS &lt; 0.1) among tick-borne orthoflaviviruses that differ by less than 13.5% amino acid/21.4% nucleotide sequences, and discretely more rapid accumulation of non-synonymous substitutions (dN/dS &gt; 0.13) among more divergent viruses that belong to distinct species. This pattern was similarly observed in genome regions encoding structural (E) and non-structural (NS3) proteins. Below this distance threshold, viruses appear fit and strongly tied to their ecological niche, whereas above the threshold, a greater degree of adaptation appears necessary. This species criterion suggests that all subtypes of TBEV, all related ovine/caprine encephalomyelitis viruses, and Omsk hemorrhagic fever virus (OHFV) together correspond to a single species. Within this species, viruses make up 11 subtypes that are reliably segregated by a 10% nucleotide distance cut-off suggested earlier for TBEV. The same 10% subtype cut-off suggests that Powassan virus includes two subtypes, Powassan and Deer Tick virus.","author":[{"dropping-particle":"","family":"Deviatkin","given":"Andrei A","non-dropping-particle":"","parse-names":false,"suffix":""},{"dropping-particle":"","family":"Aleshina","given":"Yulia A","non-dropping-particle":"","parse-names":false,"suffix":""},{"dropping-particle":"","family":"Karganova","given":"Galina G","non-dropping-particle":"","parse-names":false,"suffix":""},{"dropping-particle":"","family":"Lukashev","given":"Alexander N","non-dropping-particle":"","parse-names":false,"suffix":""}],"container-title":"Viruses","id":"ITEM-1","issue":"10","issued":{"date-parts":[["2024","9","30"]]},"page":"1554","title":"Selection Pressure Profile Suggests Species Criteria among Tick-Borne Orthoflaviviruses","type":"article-journal","volume":"16"},"uris":["http://www.mendeley.com/documents/?uuid=3ce1ce96-6ba7-42f2-884a-f00f15a74e55"]}],"mendeley":{"formattedCitation":"[13]","plainTextFormattedCitation":"[13]","previouslyFormattedCitation":"[13]"},"properties":{"noteIndex":0},"schema":"https://github.com/citation-style-language/schema/raw/master/csl-citation.json"}</w:instrText>
            </w:r>
            <w:r w:rsidRPr="00373798">
              <w:rPr>
                <w:rFonts w:ascii="Aptos" w:hAnsi="Aptos" w:cs="Arial"/>
                <w:sz w:val="20"/>
                <w:szCs w:val="20"/>
              </w:rPr>
              <w:fldChar w:fldCharType="separate"/>
            </w:r>
            <w:r w:rsidRPr="00373798">
              <w:rPr>
                <w:rFonts w:ascii="Aptos" w:hAnsi="Aptos" w:cs="Arial"/>
                <w:noProof/>
                <w:sz w:val="20"/>
                <w:szCs w:val="20"/>
              </w:rPr>
              <w:t>[13]</w:t>
            </w:r>
            <w:r w:rsidRPr="00373798">
              <w:rPr>
                <w:rFonts w:ascii="Aptos" w:hAnsi="Aptos" w:cs="Arial"/>
                <w:sz w:val="20"/>
                <w:szCs w:val="20"/>
              </w:rPr>
              <w:fldChar w:fldCharType="end"/>
            </w:r>
            <w:r w:rsidRPr="00373798">
              <w:rPr>
                <w:rFonts w:ascii="Aptos" w:hAnsi="Aptos" w:cs="Arial"/>
                <w:sz w:val="20"/>
                <w:szCs w:val="20"/>
              </w:rPr>
              <w:t xml:space="preserve">: </w:t>
            </w:r>
            <w:r w:rsidR="00074589" w:rsidRPr="00373798">
              <w:rPr>
                <w:rFonts w:ascii="Aptos" w:hAnsi="Aptos" w:cs="Arial"/>
                <w:sz w:val="20"/>
                <w:szCs w:val="20"/>
              </w:rPr>
              <w:t xml:space="preserve">nucleotide divergence ≤23%, amino acid divergence ≤14%, and a </w:t>
            </w:r>
            <w:proofErr w:type="spellStart"/>
            <w:r w:rsidR="00074589" w:rsidRPr="00373798">
              <w:rPr>
                <w:rFonts w:ascii="Aptos" w:hAnsi="Aptos" w:cs="Arial"/>
                <w:sz w:val="20"/>
                <w:szCs w:val="20"/>
              </w:rPr>
              <w:t>dN</w:t>
            </w:r>
            <w:proofErr w:type="spellEnd"/>
            <w:r w:rsidR="00074589" w:rsidRPr="00373798">
              <w:rPr>
                <w:rFonts w:ascii="Aptos" w:hAnsi="Aptos" w:cs="Arial"/>
                <w:sz w:val="20"/>
                <w:szCs w:val="20"/>
              </w:rPr>
              <w:t>/</w:t>
            </w:r>
            <w:proofErr w:type="spellStart"/>
            <w:r w:rsidR="00074589" w:rsidRPr="00373798">
              <w:rPr>
                <w:rFonts w:ascii="Aptos" w:hAnsi="Aptos" w:cs="Arial"/>
                <w:sz w:val="20"/>
                <w:szCs w:val="20"/>
              </w:rPr>
              <w:t>dS</w:t>
            </w:r>
            <w:proofErr w:type="spellEnd"/>
            <w:r w:rsidR="00074589" w:rsidRPr="00373798">
              <w:rPr>
                <w:rFonts w:ascii="Aptos" w:hAnsi="Aptos" w:cs="Arial"/>
                <w:sz w:val="20"/>
                <w:szCs w:val="20"/>
              </w:rPr>
              <w:t xml:space="preserve"> ratio &lt;0.11 in the polyprotein</w:t>
            </w:r>
            <w:r w:rsidRPr="00373798">
              <w:rPr>
                <w:rFonts w:ascii="Aptos" w:hAnsi="Aptos" w:cs="Arial"/>
                <w:sz w:val="20"/>
                <w:szCs w:val="20"/>
              </w:rPr>
              <w:t xml:space="preserve">. </w:t>
            </w:r>
            <w:r w:rsidR="00A54528" w:rsidRPr="00373798">
              <w:rPr>
                <w:rFonts w:ascii="Aptos" w:hAnsi="Aptos" w:cs="Arial"/>
                <w:sz w:val="20"/>
                <w:szCs w:val="20"/>
              </w:rPr>
              <w:t xml:space="preserve">The pairwise </w:t>
            </w:r>
            <w:proofErr w:type="spellStart"/>
            <w:r w:rsidR="00A54528" w:rsidRPr="00373798">
              <w:rPr>
                <w:rFonts w:ascii="Aptos" w:hAnsi="Aptos" w:cs="Arial"/>
                <w:sz w:val="20"/>
                <w:szCs w:val="20"/>
              </w:rPr>
              <w:t>dN</w:t>
            </w:r>
            <w:proofErr w:type="spellEnd"/>
            <w:r w:rsidR="00A54528" w:rsidRPr="00373798">
              <w:rPr>
                <w:rFonts w:ascii="Aptos" w:hAnsi="Aptos" w:cs="Arial"/>
                <w:sz w:val="20"/>
                <w:szCs w:val="20"/>
              </w:rPr>
              <w:t>/</w:t>
            </w:r>
            <w:proofErr w:type="spellStart"/>
            <w:r w:rsidR="00A54528" w:rsidRPr="00373798">
              <w:rPr>
                <w:rFonts w:ascii="Aptos" w:hAnsi="Aptos" w:cs="Arial"/>
                <w:sz w:val="20"/>
                <w:szCs w:val="20"/>
              </w:rPr>
              <w:t>dS</w:t>
            </w:r>
            <w:proofErr w:type="spellEnd"/>
            <w:r w:rsidR="00A54528" w:rsidRPr="00373798">
              <w:rPr>
                <w:rFonts w:ascii="Aptos" w:hAnsi="Aptos" w:cs="Arial"/>
                <w:sz w:val="20"/>
                <w:szCs w:val="20"/>
              </w:rPr>
              <w:t xml:space="preserve"> ratio is derived from pairwise amino acid and nucleotide distances and therefore provides complementary information regarding the underlying </w:t>
            </w:r>
            <w:r w:rsidR="00B47E3F">
              <w:rPr>
                <w:rFonts w:ascii="Aptos" w:hAnsi="Aptos" w:cs="Arial"/>
                <w:sz w:val="20"/>
                <w:szCs w:val="20"/>
              </w:rPr>
              <w:t>selection pressure</w:t>
            </w:r>
            <w:r w:rsidR="00A54528" w:rsidRPr="00373798">
              <w:rPr>
                <w:rFonts w:ascii="Aptos" w:hAnsi="Aptos" w:cs="Arial"/>
                <w:sz w:val="20"/>
                <w:szCs w:val="20"/>
              </w:rPr>
              <w:t xml:space="preserve">. </w:t>
            </w:r>
            <w:r w:rsidRPr="00373798">
              <w:rPr>
                <w:rFonts w:ascii="Aptos" w:hAnsi="Aptos" w:cs="Arial"/>
                <w:sz w:val="20"/>
                <w:szCs w:val="20"/>
              </w:rPr>
              <w:t xml:space="preserve">Eleven subtypes can be distinguished within this species. Seven subtypes of TBEV (FE, Sib, Eur, Bkl-1, Bkl-2, Ob, Him), LIV (including SSEV and SGEV), TSEV (including GGEV), and two subtypes of OHFV are delineated by a threshold of 10% nucleotide divergence across the entire open reading frame </w:t>
            </w:r>
            <w:r w:rsidRPr="00373798">
              <w:rPr>
                <w:rFonts w:ascii="Aptos" w:hAnsi="Aptos" w:cs="Arial"/>
                <w:sz w:val="20"/>
                <w:szCs w:val="20"/>
              </w:rPr>
              <w:fldChar w:fldCharType="begin" w:fldLock="1"/>
            </w:r>
            <w:r w:rsidR="005B09CE" w:rsidRPr="00373798">
              <w:rPr>
                <w:rFonts w:ascii="Aptos" w:hAnsi="Aptos" w:cs="Arial"/>
                <w:sz w:val="20"/>
                <w:szCs w:val="20"/>
              </w:rPr>
              <w:instrText>ADDIN CSL_CITATION {"citationItems":[{"id":"ITEM-1","itemData":{"DOI":"10.3390/v16101554","ISSN":"1999-4915","abstract":"Orthoflaviviruses are arthropod-borne viruses that are transmitted by mosquitoes or ticks and cause a range of significant human diseases. Among the most important tick-borne orthoflaviviruses (TBFVs) is tick-borne encephalitis virus (TBEV), which is endemic in Eurasia, and Powassan virus, which is endemic in Asia and North America. There is a significant controversy regarding species assignment in the tick-borne encephalitis virus complex due to the complex phylogenetic, serological, ecological, and pathogenetic properties of viruses. Comparing the rate of non-synonymous to synonymous substitutions (dN/dS) over the course of tick-borne orthoflavivirus diversification suggests that there is a very strong stabilizing selection (Nei-Gojobori dN/dS &lt; 0.1) among tick-borne orthoflaviviruses that differ by less than 13.5% amino acid/21.4% nucleotide sequences, and discretely more rapid accumulation of non-synonymous substitutions (dN/dS &gt; 0.13) among more divergent viruses that belong to distinct species. This pattern was similarly observed in genome regions encoding structural (E) and non-structural (NS3) proteins. Below this distance threshold, viruses appear fit and strongly tied to their ecological niche, whereas above the threshold, a greater degree of adaptation appears necessary. This species criterion suggests that all subtypes of TBEV, all related ovine/caprine encephalomyelitis viruses, and Omsk hemorrhagic fever virus (OHFV) together correspond to a single species. Within this species, viruses make up 11 subtypes that are reliably segregated by a 10% nucleotide distance cut-off suggested earlier for TBEV. The same 10% subtype cut-off suggests that Powassan virus includes two subtypes, Powassan and Deer Tick virus.","author":[{"dropping-particle":"","family":"Deviatkin","given":"Andrei A","non-dropping-particle":"","parse-names":false,"suffix":""},{"dropping-particle":"","family":"Aleshina","given":"Yulia A","non-dropping-particle":"","parse-names":false,"suffix":""},{"dropping-particle":"","family":"Karganova","given":"Galina G","non-dropping-particle":"","parse-names":false,"suffix":""},{"dropping-particle":"","family":"Lukashev","given":"Alexander N","non-dropping-particle":"","parse-names":false,"suffix":""}],"container-title":"Viruses","id":"ITEM-1","issue":"10","issued":{"date-parts":[["2024","9","30"]]},"page":"1554","title":"Selection Pressure Profile Suggests Species Criteria among Tick-Borne Orthoflaviviruses","type":"article-journal","volume":"16"},"uris":["http://www.mendeley.com/documents/?uuid=3ce1ce96-6ba7-42f2-884a-f00f15a74e55"]},{"id":"ITEM-2","itemData":{"DOI":"10.3390/v12111240","ISSN":"1999-4915","abstract":"Currently, the lowest formal taxon in virus classification is species; however, unofficial lower-level units are commonly used in everyday work. Tick-borne encephalitis virus (TBEV) is a species of mammalian tick-borne flaviviruses that may cause encephalitis. Many known representatives of TBEV are grouped into subtypes, mostly according to their phylogenetic relationship. However, the emergence of novel sequences could dissolve this phylogenetic grouping; in the absence of strict quantitative criterion, it may be hard to define the borders of the first TBEV taxonomic unit below the species level. In this study, the nucleotide/amino-acid space of all known TBEV sequences was analyzed. Amino-acid sequence p-distances could not reliably distinguish TBEV subtypes. Viruses that differed by less than 10% of nucleotides in the polyprotein-coding gene belonged to the same subtype. At the same time, more divergent viruses were representatives of different subtypes. According to this distance criterion, TBEV species may be divided into seven subtypes: TBEV-Eur, TBEV-Sib, TBEV-FE, TBEV-2871 (TBEV-Ob), TBEV-Him, TBEV-178-79 (TBEV-Bkl-1), and TBEV-886-84 (TBEV-Bkl-2).","author":[{"dropping-particle":"","family":"Deviatkin","given":"Andrei A","non-dropping-particle":"","parse-names":false,"suffix":""},{"dropping-particle":"","family":"Karganova","given":"Galina G","non-dropping-particle":"","parse-names":false,"suffix":""},{"dropping-particle":"","family":"Vakulenko","given":"Yulia A","non-dropping-particle":"","parse-names":false,"suffix":""},{"dropping-particle":"","family":"Lukashev","given":"Alexander N","non-dropping-particle":"","parse-names":false,"suffix":""}],"container-title":"Viruses","id":"ITEM-2","issue":"11","issued":{"date-parts":[["2020","10","31"]]},"page":"1240","title":"TBEV Subtyping in Terms of Genetic Distance","type":"article-journal","volume":"12"},"uris":["http://www.mendeley.com/documents/?uuid=68091133-109e-4f73-80be-ae81459fdc4b"]}],"mendeley":{"formattedCitation":"[1, 13]","plainTextFormattedCitation":"[1, 13]","previouslyFormattedCitation":"[1, 13]"},"properties":{"noteIndex":0},"schema":"https://github.com/citation-style-language/schema/raw/master/csl-citation.json"}</w:instrText>
            </w:r>
            <w:r w:rsidRPr="00373798">
              <w:rPr>
                <w:rFonts w:ascii="Aptos" w:hAnsi="Aptos" w:cs="Arial"/>
                <w:sz w:val="20"/>
                <w:szCs w:val="20"/>
              </w:rPr>
              <w:fldChar w:fldCharType="separate"/>
            </w:r>
            <w:r w:rsidRPr="00373798">
              <w:rPr>
                <w:rFonts w:ascii="Aptos" w:hAnsi="Aptos" w:cs="Arial"/>
                <w:noProof/>
                <w:sz w:val="20"/>
                <w:szCs w:val="20"/>
              </w:rPr>
              <w:t>[1, 13]</w:t>
            </w:r>
            <w:r w:rsidRPr="00373798">
              <w:rPr>
                <w:rFonts w:ascii="Aptos" w:hAnsi="Aptos" w:cs="Arial"/>
                <w:sz w:val="20"/>
                <w:szCs w:val="20"/>
              </w:rPr>
              <w:fldChar w:fldCharType="end"/>
            </w:r>
            <w:r w:rsidRPr="00373798">
              <w:rPr>
                <w:rFonts w:ascii="Aptos" w:hAnsi="Aptos" w:cs="Arial"/>
                <w:sz w:val="20"/>
                <w:szCs w:val="20"/>
              </w:rPr>
              <w:t>.</w:t>
            </w:r>
            <w:r w:rsidR="003C7F13" w:rsidRPr="00373798">
              <w:rPr>
                <w:rFonts w:ascii="Aptos" w:hAnsi="Aptos" w:cs="Arial"/>
                <w:sz w:val="20"/>
                <w:szCs w:val="20"/>
              </w:rPr>
              <w:t xml:space="preserve"> The corresponding phylogenetic framework and comparison of the current and proposed classification schemes are presented in Figure 1.</w:t>
            </w:r>
          </w:p>
          <w:p w14:paraId="6285050A" w14:textId="44138141" w:rsidR="005B09CE" w:rsidRPr="00373798" w:rsidRDefault="00854E5B" w:rsidP="00DD58AA">
            <w:pPr>
              <w:rPr>
                <w:rFonts w:ascii="Aptos" w:eastAsia="Palatino Linotype" w:hAnsi="Aptos" w:cs="Palatino Linotype"/>
                <w:color w:val="0F1115"/>
                <w:sz w:val="22"/>
                <w:szCs w:val="22"/>
                <w:u w:val="single"/>
              </w:rPr>
            </w:pPr>
            <w:r w:rsidRPr="00373798">
              <w:rPr>
                <w:rFonts w:ascii="Aptos" w:eastAsia="Palatino Linotype" w:hAnsi="Aptos" w:cs="Palatino Linotype"/>
                <w:color w:val="0F1115"/>
                <w:sz w:val="22"/>
                <w:szCs w:val="22"/>
                <w:highlight w:val="white"/>
                <w:u w:val="single"/>
              </w:rPr>
              <w:t xml:space="preserve">1. </w:t>
            </w:r>
            <w:r w:rsidR="004B6BB8" w:rsidRPr="00373798">
              <w:rPr>
                <w:rFonts w:ascii="Aptos" w:eastAsia="Palatino Linotype" w:hAnsi="Aptos" w:cs="Palatino Linotype"/>
                <w:color w:val="0F1115"/>
                <w:sz w:val="22"/>
                <w:szCs w:val="22"/>
                <w:u w:val="single"/>
              </w:rPr>
              <w:t>Evolutionary evidence supporting the proposed framework</w:t>
            </w:r>
          </w:p>
          <w:p w14:paraId="1978B970" w14:textId="4C85153F" w:rsidR="001D4FFE" w:rsidRPr="00373798" w:rsidRDefault="004B6BB8" w:rsidP="004B6BB8">
            <w:pPr>
              <w:rPr>
                <w:rFonts w:ascii="Aptos" w:hAnsi="Aptos" w:cs="Arial"/>
                <w:sz w:val="20"/>
                <w:szCs w:val="20"/>
              </w:rPr>
            </w:pPr>
            <w:r w:rsidRPr="00373798">
              <w:rPr>
                <w:rFonts w:ascii="Aptos" w:hAnsi="Aptos" w:cs="Arial"/>
                <w:sz w:val="20"/>
                <w:szCs w:val="20"/>
              </w:rPr>
              <w:t xml:space="preserve">The proposed species boundary is supported by a reproducible transition in evolutionary constraints observed across complete polyprotein sequences. Pairwise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ratios calculated using two independent approaches, </w:t>
            </w:r>
            <w:proofErr w:type="spellStart"/>
            <w:r w:rsidRPr="00373798">
              <w:rPr>
                <w:rFonts w:ascii="Aptos" w:hAnsi="Aptos" w:cs="Arial"/>
                <w:sz w:val="20"/>
                <w:szCs w:val="20"/>
              </w:rPr>
              <w:t>Nei</w:t>
            </w:r>
            <w:proofErr w:type="spellEnd"/>
            <w:r w:rsidRPr="00373798">
              <w:rPr>
                <w:rFonts w:ascii="Aptos" w:hAnsi="Aptos" w:cs="Arial"/>
                <w:sz w:val="20"/>
                <w:szCs w:val="20"/>
              </w:rPr>
              <w:t>–</w:t>
            </w:r>
            <w:proofErr w:type="spellStart"/>
            <w:r w:rsidRPr="00373798">
              <w:rPr>
                <w:rFonts w:ascii="Aptos" w:hAnsi="Aptos" w:cs="Arial"/>
                <w:sz w:val="20"/>
                <w:szCs w:val="20"/>
              </w:rPr>
              <w:t>Gojobori</w:t>
            </w:r>
            <w:proofErr w:type="spellEnd"/>
            <w:r w:rsidRPr="00373798">
              <w:rPr>
                <w:rFonts w:ascii="Aptos" w:hAnsi="Aptos" w:cs="Arial"/>
                <w:sz w:val="20"/>
                <w:szCs w:val="20"/>
              </w:rPr>
              <w:t xml:space="preserve"> and Yang–Nielsen (PAML), show the same general pattern (Figure S2 in the Appendix of</w:t>
            </w:r>
            <w:r w:rsidR="00912F61" w:rsidRPr="00373798">
              <w:rPr>
                <w:rFonts w:ascii="Aptos" w:hAnsi="Aptos" w:cs="Arial"/>
                <w:sz w:val="20"/>
                <w:szCs w:val="20"/>
              </w:rPr>
              <w:t xml:space="preserve"> </w:t>
            </w:r>
            <w:r w:rsidR="00912F61" w:rsidRPr="00373798">
              <w:rPr>
                <w:rFonts w:ascii="Aptos" w:hAnsi="Aptos" w:cs="Arial"/>
                <w:sz w:val="20"/>
                <w:szCs w:val="20"/>
              </w:rPr>
              <w:fldChar w:fldCharType="begin" w:fldLock="1"/>
            </w:r>
            <w:r w:rsidR="00FE4AC7" w:rsidRPr="00373798">
              <w:rPr>
                <w:rFonts w:ascii="Aptos" w:hAnsi="Aptos" w:cs="Arial"/>
                <w:sz w:val="20"/>
                <w:szCs w:val="20"/>
              </w:rPr>
              <w:instrText>ADDIN CSL_CITATION {"citationItems":[{"id":"ITEM-1","itemData":{"DOI":"10.3390/v16101554","ISSN":"1999-4915","abstract":"Orthoflaviviruses are arthropod-borne viruses that are transmitted by mosquitoes or ticks and cause a range of significant human diseases. Among the most important tick-borne orthoflaviviruses (TBFVs) is tick-borne encephalitis virus (TBEV), which is endemic in Eurasia, and Powassan virus, which is endemic in Asia and North America. There is a significant controversy regarding species assignment in the tick-borne encephalitis virus complex due to the complex phylogenetic, serological, ecological, and pathogenetic properties of viruses. Comparing the rate of non-synonymous to synonymous substitutions (dN/dS) over the course of tick-borne orthoflavivirus diversification suggests that there is a very strong stabilizing selection (Nei-Gojobori dN/dS &lt; 0.1) among tick-borne orthoflaviviruses that differ by less than 13.5% amino acid/21.4% nucleotide sequences, and discretely more rapid accumulation of non-synonymous substitutions (dN/dS &gt; 0.13) among more divergent viruses that belong to distinct species. This pattern was similarly observed in genome regions encoding structural (E) and non-structural (NS3) proteins. Below this distance threshold, viruses appear fit and strongly tied to their ecological niche, whereas above the threshold, a greater degree of adaptation appears necessary. This species criterion suggests that all subtypes of TBEV, all related ovine/caprine encephalomyelitis viruses, and Omsk hemorrhagic fever virus (OHFV) together correspond to a single species. Within this species, viruses make up 11 subtypes that are reliably segregated by a 10% nucleotide distance cut-off suggested earlier for TBEV. The same 10% subtype cut-off suggests that Powassan virus includes two subtypes, Powassan and Deer Tick virus.","author":[{"dropping-particle":"","family":"Deviatkin","given":"Andrei A","non-dropping-particle":"","parse-names":false,"suffix":""},{"dropping-particle":"","family":"Aleshina","given":"Yulia A","non-dropping-particle":"","parse-names":false,"suffix":""},{"dropping-particle":"","family":"Karganova","given":"Galina G","non-dropping-particle":"","parse-names":false,"suffix":""},{"dropping-particle":"","family":"Lukashev","given":"Alexander N","non-dropping-particle":"","parse-names":false,"suffix":""}],"container-title":"Viruses","id":"ITEM-1","issue":"10","issued":{"date-parts":[["2024","9","30"]]},"page":"1554","title":"Selection Pressure Profile Suggests Species Criteria among Tick-Borne Orthoflaviviruses","type":"article-journal","volume":"16"},"uris":["http://www.mendeley.com/documents/?uuid=3ce1ce96-6ba7-42f2-884a-f00f15a74e55"]}],"mendeley":{"formattedCitation":"[13]","plainTextFormattedCitation":"[13]","previouslyFormattedCitation":"[13]"},"properties":{"noteIndex":0},"schema":"https://github.com/citation-style-language/schema/raw/master/csl-citation.json"}</w:instrText>
            </w:r>
            <w:r w:rsidR="00912F61" w:rsidRPr="00373798">
              <w:rPr>
                <w:rFonts w:ascii="Aptos" w:hAnsi="Aptos" w:cs="Arial"/>
                <w:sz w:val="20"/>
                <w:szCs w:val="20"/>
              </w:rPr>
              <w:fldChar w:fldCharType="separate"/>
            </w:r>
            <w:r w:rsidR="00912F61" w:rsidRPr="00373798">
              <w:rPr>
                <w:rFonts w:ascii="Aptos" w:hAnsi="Aptos" w:cs="Arial"/>
                <w:noProof/>
                <w:sz w:val="20"/>
                <w:szCs w:val="20"/>
              </w:rPr>
              <w:t>[13]</w:t>
            </w:r>
            <w:r w:rsidR="00912F61" w:rsidRPr="00373798">
              <w:rPr>
                <w:rFonts w:ascii="Aptos" w:hAnsi="Aptos" w:cs="Arial"/>
                <w:sz w:val="20"/>
                <w:szCs w:val="20"/>
              </w:rPr>
              <w:fldChar w:fldCharType="end"/>
            </w:r>
            <w:r w:rsidRPr="00373798">
              <w:rPr>
                <w:rFonts w:ascii="Aptos" w:hAnsi="Aptos" w:cs="Arial"/>
                <w:sz w:val="20"/>
                <w:szCs w:val="20"/>
              </w:rPr>
              <w:t xml:space="preserve">). </w:t>
            </w:r>
            <w:r w:rsidR="001D4FFE" w:rsidRPr="00373798">
              <w:rPr>
                <w:rFonts w:ascii="Aptos" w:hAnsi="Aptos" w:cs="Arial"/>
                <w:sz w:val="20"/>
                <w:szCs w:val="20"/>
              </w:rPr>
              <w:t xml:space="preserve">Similarly, pairwise nucleotide and amino acid distances calculated from complete polyprotein sequences demonstrate a clear separation between </w:t>
            </w:r>
            <w:r w:rsidR="00A54528" w:rsidRPr="00373798">
              <w:rPr>
                <w:rFonts w:ascii="Aptos" w:hAnsi="Aptos" w:cs="Arial"/>
                <w:sz w:val="20"/>
                <w:szCs w:val="20"/>
              </w:rPr>
              <w:t>intra-group and inter-group comparisons</w:t>
            </w:r>
            <w:r w:rsidR="001D4FFE" w:rsidRPr="00373798">
              <w:rPr>
                <w:rFonts w:ascii="Aptos" w:hAnsi="Aptos" w:cs="Arial"/>
                <w:sz w:val="20"/>
                <w:szCs w:val="20"/>
              </w:rPr>
              <w:t xml:space="preserve"> (Figure </w:t>
            </w:r>
            <w:r w:rsidR="003C7F13" w:rsidRPr="00373798">
              <w:rPr>
                <w:rFonts w:ascii="Aptos" w:hAnsi="Aptos" w:cs="Arial"/>
                <w:sz w:val="20"/>
                <w:szCs w:val="20"/>
              </w:rPr>
              <w:t>2</w:t>
            </w:r>
            <w:r w:rsidR="001D4FFE" w:rsidRPr="00373798">
              <w:rPr>
                <w:rFonts w:ascii="Aptos" w:hAnsi="Aptos" w:cs="Arial"/>
                <w:sz w:val="20"/>
                <w:szCs w:val="20"/>
              </w:rPr>
              <w:t xml:space="preserve">). </w:t>
            </w:r>
            <w:r w:rsidR="008B174A" w:rsidRPr="00373798">
              <w:rPr>
                <w:rFonts w:ascii="Aptos" w:hAnsi="Aptos" w:cs="Arial"/>
                <w:sz w:val="20"/>
                <w:szCs w:val="20"/>
              </w:rPr>
              <w:t xml:space="preserve">Uncorrected nucleotide distances show a </w:t>
            </w:r>
            <w:proofErr w:type="spellStart"/>
            <w:r w:rsidR="00783ED6">
              <w:rPr>
                <w:rFonts w:ascii="Aptos" w:hAnsi="Aptos" w:cs="Arial"/>
                <w:sz w:val="20"/>
                <w:szCs w:val="20"/>
              </w:rPr>
              <w:t>taxon</w:t>
            </w:r>
            <w:proofErr w:type="spellEnd"/>
            <w:r w:rsidR="00783ED6">
              <w:rPr>
                <w:rFonts w:ascii="Aptos" w:hAnsi="Aptos" w:cs="Arial"/>
                <w:sz w:val="20"/>
                <w:szCs w:val="20"/>
              </w:rPr>
              <w:t xml:space="preserve"> </w:t>
            </w:r>
            <w:r w:rsidR="008B174A" w:rsidRPr="00373798">
              <w:rPr>
                <w:rFonts w:ascii="Aptos" w:hAnsi="Aptos" w:cs="Arial"/>
                <w:sz w:val="20"/>
                <w:szCs w:val="20"/>
              </w:rPr>
              <w:t xml:space="preserve">separation interval of approximately 21.4–24.6%. </w:t>
            </w:r>
            <w:r w:rsidR="00783ED6">
              <w:rPr>
                <w:rFonts w:ascii="Aptos" w:hAnsi="Aptos" w:cs="Arial"/>
                <w:sz w:val="20"/>
                <w:szCs w:val="20"/>
              </w:rPr>
              <w:t>U</w:t>
            </w:r>
            <w:r w:rsidR="00234039" w:rsidRPr="00373798">
              <w:rPr>
                <w:rFonts w:ascii="Aptos" w:hAnsi="Aptos" w:cs="Arial"/>
                <w:sz w:val="20"/>
                <w:szCs w:val="20"/>
              </w:rPr>
              <w:t xml:space="preserve">ncorrected pairwise amino acid distances show a separation range of 12.3–15.1% (Figure </w:t>
            </w:r>
            <w:r w:rsidR="003C7F13" w:rsidRPr="00373798">
              <w:rPr>
                <w:rFonts w:ascii="Aptos" w:hAnsi="Aptos" w:cs="Arial"/>
                <w:sz w:val="20"/>
                <w:szCs w:val="20"/>
              </w:rPr>
              <w:t>2</w:t>
            </w:r>
            <w:r w:rsidR="00234039" w:rsidRPr="00373798">
              <w:rPr>
                <w:rFonts w:ascii="Aptos" w:hAnsi="Aptos" w:cs="Arial"/>
                <w:sz w:val="20"/>
                <w:szCs w:val="20"/>
              </w:rPr>
              <w:t xml:space="preserve">A), whereas amino acid distances </w:t>
            </w:r>
            <w:r w:rsidR="00387B1A" w:rsidRPr="00373798">
              <w:rPr>
                <w:rFonts w:ascii="Aptos" w:hAnsi="Aptos" w:cs="Arial"/>
                <w:sz w:val="20"/>
                <w:szCs w:val="20"/>
              </w:rPr>
              <w:t>estimated using the BLOSUM62 substitution model</w:t>
            </w:r>
            <w:r w:rsidR="00124B4C" w:rsidRPr="00373798">
              <w:rPr>
                <w:rFonts w:ascii="Aptos" w:hAnsi="Aptos" w:cs="Arial"/>
                <w:sz w:val="20"/>
                <w:szCs w:val="20"/>
              </w:rPr>
              <w:t xml:space="preserve"> </w:t>
            </w:r>
            <w:r w:rsidR="00234039" w:rsidRPr="00373798">
              <w:rPr>
                <w:rFonts w:ascii="Aptos" w:hAnsi="Aptos" w:cs="Arial"/>
                <w:sz w:val="20"/>
                <w:szCs w:val="20"/>
              </w:rPr>
              <w:t xml:space="preserve">show a corresponding range of 13.5–16.7% (Figure </w:t>
            </w:r>
            <w:r w:rsidR="003C7F13" w:rsidRPr="00373798">
              <w:rPr>
                <w:rFonts w:ascii="Aptos" w:hAnsi="Aptos" w:cs="Arial"/>
                <w:sz w:val="20"/>
                <w:szCs w:val="20"/>
              </w:rPr>
              <w:t>2</w:t>
            </w:r>
            <w:r w:rsidR="00234039" w:rsidRPr="00373798">
              <w:rPr>
                <w:rFonts w:ascii="Aptos" w:hAnsi="Aptos" w:cs="Arial"/>
                <w:sz w:val="20"/>
                <w:szCs w:val="20"/>
              </w:rPr>
              <w:t>B)</w:t>
            </w:r>
            <w:r w:rsidR="007A508F" w:rsidRPr="00373798">
              <w:rPr>
                <w:rFonts w:ascii="Aptos" w:hAnsi="Aptos" w:cs="Arial"/>
                <w:sz w:val="20"/>
                <w:szCs w:val="20"/>
              </w:rPr>
              <w:t xml:space="preserve">. </w:t>
            </w:r>
          </w:p>
          <w:p w14:paraId="1AE62EE4" w14:textId="288CDE04" w:rsidR="004B6BB8" w:rsidRPr="00373798" w:rsidRDefault="00DC1330" w:rsidP="004B6BB8">
            <w:pPr>
              <w:rPr>
                <w:rFonts w:ascii="Aptos" w:hAnsi="Aptos" w:cs="Arial"/>
                <w:sz w:val="20"/>
                <w:szCs w:val="20"/>
              </w:rPr>
            </w:pPr>
            <w:r w:rsidRPr="00373798">
              <w:rPr>
                <w:rFonts w:ascii="Aptos" w:hAnsi="Aptos" w:cs="Arial"/>
                <w:sz w:val="20"/>
                <w:szCs w:val="20"/>
              </w:rPr>
              <w:t xml:space="preserve">Within the proposed species boundary, all pairwise comparisons are </w:t>
            </w:r>
            <w:r w:rsidR="00783ED6" w:rsidRPr="00373798">
              <w:rPr>
                <w:rFonts w:ascii="Aptos" w:hAnsi="Aptos" w:cs="Arial"/>
                <w:sz w:val="20"/>
                <w:szCs w:val="20"/>
              </w:rPr>
              <w:t>characterized</w:t>
            </w:r>
            <w:r w:rsidRPr="00373798">
              <w:rPr>
                <w:rFonts w:ascii="Aptos" w:hAnsi="Aptos" w:cs="Arial"/>
                <w:sz w:val="20"/>
                <w:szCs w:val="20"/>
              </w:rPr>
              <w:t xml:space="preserve"> by </w:t>
            </w:r>
            <w:r w:rsidR="00783ED6">
              <w:rPr>
                <w:rFonts w:ascii="Aptos" w:hAnsi="Aptos" w:cs="Arial"/>
                <w:sz w:val="20"/>
                <w:szCs w:val="20"/>
              </w:rPr>
              <w:t xml:space="preserve">a </w:t>
            </w:r>
            <w:r w:rsidRPr="00373798">
              <w:rPr>
                <w:rFonts w:ascii="Aptos" w:hAnsi="Aptos" w:cs="Arial"/>
                <w:sz w:val="20"/>
                <w:szCs w:val="20"/>
              </w:rPr>
              <w:t xml:space="preserve">strong purifying selection, with </w:t>
            </w:r>
            <w:proofErr w:type="spellStart"/>
            <w:r w:rsidRPr="00373798">
              <w:rPr>
                <w:rFonts w:ascii="Aptos" w:hAnsi="Aptos" w:cs="Arial"/>
                <w:sz w:val="20"/>
                <w:szCs w:val="20"/>
              </w:rPr>
              <w:t>Nei-Gojobori</w:t>
            </w:r>
            <w:proofErr w:type="spellEnd"/>
            <w:r w:rsidRPr="00373798">
              <w:rPr>
                <w:rFonts w:ascii="Aptos" w:hAnsi="Aptos" w:cs="Arial"/>
                <w:sz w:val="20"/>
                <w:szCs w:val="20"/>
              </w:rPr>
              <w:t xml:space="preserve">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values below 0.104. In contrast, all comparisons crossing the proposed boundary show higher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values, exceeding 0.128, indicating a discrete shift in selective constraints. The distribution of pairwise </w:t>
            </w:r>
            <w:proofErr w:type="spellStart"/>
            <w:r w:rsidRPr="00373798">
              <w:rPr>
                <w:rFonts w:ascii="Aptos" w:hAnsi="Aptos" w:cs="Arial"/>
                <w:sz w:val="20"/>
                <w:szCs w:val="20"/>
              </w:rPr>
              <w:t>Nei</w:t>
            </w:r>
            <w:proofErr w:type="spellEnd"/>
            <w:r w:rsidRPr="00373798">
              <w:rPr>
                <w:rFonts w:ascii="Aptos" w:hAnsi="Aptos" w:cs="Arial"/>
                <w:sz w:val="20"/>
                <w:szCs w:val="20"/>
              </w:rPr>
              <w:t>–</w:t>
            </w:r>
            <w:proofErr w:type="spellStart"/>
            <w:r w:rsidRPr="00373798">
              <w:rPr>
                <w:rFonts w:ascii="Aptos" w:hAnsi="Aptos" w:cs="Arial"/>
                <w:sz w:val="20"/>
                <w:szCs w:val="20"/>
              </w:rPr>
              <w:t>Gojobori</w:t>
            </w:r>
            <w:proofErr w:type="spellEnd"/>
            <w:r w:rsidRPr="00373798">
              <w:rPr>
                <w:rFonts w:ascii="Aptos" w:hAnsi="Aptos" w:cs="Arial"/>
                <w:sz w:val="20"/>
                <w:szCs w:val="20"/>
              </w:rPr>
              <w:t xml:space="preserve">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values shows the same discontinuous pattern, with within-species comparisons separated from between-species comparisons by a clear transition range </w:t>
            </w:r>
            <w:r w:rsidR="00595DFA" w:rsidRPr="00373798">
              <w:rPr>
                <w:rFonts w:ascii="Aptos" w:hAnsi="Aptos" w:cs="Arial"/>
                <w:sz w:val="20"/>
                <w:szCs w:val="20"/>
              </w:rPr>
              <w:t xml:space="preserve">(Figure </w:t>
            </w:r>
            <w:r w:rsidR="003C7F13" w:rsidRPr="00373798">
              <w:rPr>
                <w:rFonts w:ascii="Aptos" w:hAnsi="Aptos" w:cs="Arial"/>
                <w:sz w:val="20"/>
                <w:szCs w:val="20"/>
              </w:rPr>
              <w:t>3</w:t>
            </w:r>
            <w:r w:rsidR="00595DFA" w:rsidRPr="00373798">
              <w:rPr>
                <w:rFonts w:ascii="Aptos" w:hAnsi="Aptos" w:cs="Arial"/>
                <w:sz w:val="20"/>
                <w:szCs w:val="20"/>
              </w:rPr>
              <w:t>).</w:t>
            </w:r>
          </w:p>
          <w:p w14:paraId="54D996EF" w14:textId="3F2E07E9" w:rsidR="004B6BB8" w:rsidRPr="00373798" w:rsidRDefault="004B6BB8" w:rsidP="004B6BB8">
            <w:pPr>
              <w:rPr>
                <w:rFonts w:ascii="Aptos" w:hAnsi="Aptos" w:cs="Arial"/>
                <w:sz w:val="20"/>
                <w:szCs w:val="20"/>
              </w:rPr>
            </w:pPr>
            <w:r w:rsidRPr="00373798">
              <w:rPr>
                <w:rFonts w:ascii="Aptos" w:hAnsi="Aptos" w:cs="Arial"/>
                <w:sz w:val="20"/>
                <w:szCs w:val="20"/>
              </w:rPr>
              <w:t>If the observed pattern</w:t>
            </w:r>
            <w:r w:rsidR="00783ED6">
              <w:rPr>
                <w:rFonts w:ascii="Aptos" w:hAnsi="Aptos" w:cs="Arial"/>
                <w:sz w:val="20"/>
                <w:szCs w:val="20"/>
              </w:rPr>
              <w:t>s</w:t>
            </w:r>
            <w:r w:rsidRPr="00373798">
              <w:rPr>
                <w:rFonts w:ascii="Aptos" w:hAnsi="Aptos" w:cs="Arial"/>
                <w:sz w:val="20"/>
                <w:szCs w:val="20"/>
              </w:rPr>
              <w:t xml:space="preserve"> were caused primarily by nucleotide substitution saturation, a gradual increase in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with increasing genetic distance would be expected. Instead, the data demonstrate a discontinuous transition occurring at approximately 1</w:t>
            </w:r>
            <w:r w:rsidR="00912F61" w:rsidRPr="00373798">
              <w:rPr>
                <w:rFonts w:ascii="Aptos" w:hAnsi="Aptos" w:cs="Arial"/>
                <w:sz w:val="20"/>
                <w:szCs w:val="20"/>
              </w:rPr>
              <w:t>3</w:t>
            </w:r>
            <w:r w:rsidRPr="00373798">
              <w:rPr>
                <w:rFonts w:ascii="Aptos" w:hAnsi="Aptos" w:cs="Arial"/>
                <w:sz w:val="20"/>
                <w:szCs w:val="20"/>
              </w:rPr>
              <w:t xml:space="preserve">–15% amino acid divergence in the polyprotein (based on uncorrected pairwise distances). This biphasic pattern is also observed in </w:t>
            </w:r>
            <w:r w:rsidR="00783ED6">
              <w:rPr>
                <w:rFonts w:ascii="Aptos" w:hAnsi="Aptos" w:cs="Arial"/>
                <w:sz w:val="20"/>
                <w:szCs w:val="20"/>
              </w:rPr>
              <w:t>distinct</w:t>
            </w:r>
            <w:r w:rsidR="00783ED6" w:rsidRPr="00373798">
              <w:rPr>
                <w:rFonts w:ascii="Aptos" w:hAnsi="Aptos" w:cs="Arial"/>
                <w:sz w:val="20"/>
                <w:szCs w:val="20"/>
              </w:rPr>
              <w:t xml:space="preserve"> </w:t>
            </w:r>
            <w:r w:rsidRPr="00373798">
              <w:rPr>
                <w:rFonts w:ascii="Aptos" w:hAnsi="Aptos" w:cs="Arial"/>
                <w:sz w:val="20"/>
                <w:szCs w:val="20"/>
              </w:rPr>
              <w:t xml:space="preserve">genomic regions, including the E protein and NS3, supporting a biological shift in selective </w:t>
            </w:r>
            <w:r w:rsidR="00783ED6">
              <w:rPr>
                <w:rFonts w:ascii="Aptos" w:hAnsi="Aptos" w:cs="Arial"/>
                <w:sz w:val="20"/>
                <w:szCs w:val="20"/>
              </w:rPr>
              <w:t xml:space="preserve">pressures and </w:t>
            </w:r>
            <w:r w:rsidRPr="00373798">
              <w:rPr>
                <w:rFonts w:ascii="Aptos" w:hAnsi="Aptos" w:cs="Arial"/>
                <w:sz w:val="20"/>
                <w:szCs w:val="20"/>
              </w:rPr>
              <w:t>constraints rather than a methodological artefact.</w:t>
            </w:r>
          </w:p>
          <w:p w14:paraId="60FE1AEE" w14:textId="5F748B58" w:rsidR="004B6BB8" w:rsidRPr="00373798" w:rsidRDefault="004B6BB8" w:rsidP="004B6BB8">
            <w:pPr>
              <w:rPr>
                <w:rFonts w:ascii="Aptos" w:hAnsi="Aptos" w:cs="Arial"/>
                <w:sz w:val="20"/>
                <w:szCs w:val="20"/>
              </w:rPr>
            </w:pPr>
            <w:r w:rsidRPr="00373798">
              <w:rPr>
                <w:rFonts w:ascii="Aptos" w:hAnsi="Aptos" w:cs="Arial"/>
                <w:sz w:val="20"/>
                <w:szCs w:val="20"/>
              </w:rPr>
              <w:t xml:space="preserve">The relevance of this threshold is further supported by comparison of complete polyprotein sequences. </w:t>
            </w:r>
            <w:r w:rsidR="001C7F7B" w:rsidRPr="001C7F7B">
              <w:rPr>
                <w:rFonts w:ascii="Aptos" w:hAnsi="Aptos" w:cs="Arial"/>
                <w:sz w:val="20"/>
                <w:szCs w:val="20"/>
              </w:rPr>
              <w:t xml:space="preserve">Previous examples suggesting a comparable </w:t>
            </w:r>
            <w:proofErr w:type="spellStart"/>
            <w:r w:rsidR="001C7F7B" w:rsidRPr="001C7F7B">
              <w:rPr>
                <w:rFonts w:ascii="Aptos" w:hAnsi="Aptos" w:cs="Arial"/>
                <w:sz w:val="20"/>
                <w:szCs w:val="20"/>
              </w:rPr>
              <w:t>dN</w:t>
            </w:r>
            <w:proofErr w:type="spellEnd"/>
            <w:r w:rsidR="001C7F7B" w:rsidRPr="001C7F7B">
              <w:rPr>
                <w:rFonts w:ascii="Aptos" w:hAnsi="Aptos" w:cs="Arial"/>
                <w:sz w:val="20"/>
                <w:szCs w:val="20"/>
              </w:rPr>
              <w:t>/</w:t>
            </w:r>
            <w:proofErr w:type="spellStart"/>
            <w:r w:rsidR="001C7F7B" w:rsidRPr="001C7F7B">
              <w:rPr>
                <w:rFonts w:ascii="Aptos" w:hAnsi="Aptos" w:cs="Arial"/>
                <w:sz w:val="20"/>
                <w:szCs w:val="20"/>
              </w:rPr>
              <w:t>dS</w:t>
            </w:r>
            <w:proofErr w:type="spellEnd"/>
            <w:r w:rsidR="001C7F7B" w:rsidRPr="001C7F7B">
              <w:rPr>
                <w:rFonts w:ascii="Aptos" w:hAnsi="Aptos" w:cs="Arial"/>
                <w:sz w:val="20"/>
                <w:szCs w:val="20"/>
              </w:rPr>
              <w:t xml:space="preserve"> ratio between TBEV and OHFV, and between TBEV and Langat virus, were based on E-gene analyses only</w:t>
            </w:r>
            <w:r w:rsidR="001C7F7B">
              <w:rPr>
                <w:rFonts w:ascii="Aptos" w:hAnsi="Aptos" w:cs="Arial"/>
                <w:sz w:val="20"/>
                <w:szCs w:val="20"/>
              </w:rPr>
              <w:t xml:space="preserve"> </w:t>
            </w:r>
            <w:r w:rsidR="001C7F7B" w:rsidRPr="00373798">
              <w:rPr>
                <w:rFonts w:ascii="Aptos" w:hAnsi="Aptos" w:cs="Arial"/>
                <w:sz w:val="20"/>
                <w:szCs w:val="20"/>
              </w:rPr>
              <w:fldChar w:fldCharType="begin" w:fldLock="1"/>
            </w:r>
            <w:r w:rsidR="001C7F7B" w:rsidRPr="00373798">
              <w:rPr>
                <w:rFonts w:ascii="Aptos" w:hAnsi="Aptos" w:cs="Arial"/>
                <w:sz w:val="20"/>
                <w:szCs w:val="20"/>
              </w:rPr>
              <w:instrText>ADDIN CSL_CITATION {"citationItems":[{"id":"ITEM-1","itemData":{"DOI":"10.3390/v16101554","ISSN":"1999-4915","abstract":"Orthoflaviviruses are arthropod-borne viruses that are transmitted by mosquitoes or ticks and cause a range of significant human diseases. Among the most important tick-borne orthoflaviviruses (TBFVs) is tick-borne encephalitis virus (TBEV), which is endemic in Eurasia, and Powassan virus, which is endemic in Asia and North America. There is a significant controversy regarding species assignment in the tick-borne encephalitis virus complex due to the complex phylogenetic, serological, ecological, and pathogenetic properties of viruses. Comparing the rate of non-synonymous to synonymous substitutions (dN/dS) over the course of tick-borne orthoflavivirus diversification suggests that there is a very strong stabilizing selection (Nei-Gojobori dN/dS &lt; 0.1) among tick-borne orthoflaviviruses that differ by less than 13.5% amino acid/21.4% nucleotide sequences, and discretely more rapid accumulation of non-synonymous substitutions (dN/dS &gt; 0.13) among more divergent viruses that belong to distinct species. This pattern was similarly observed in genome regions encoding structural (E) and non-structural (NS3) proteins. Below this distance threshold, viruses appear fit and strongly tied to their ecological niche, whereas above the threshold, a greater degree of adaptation appears necessary. This species criterion suggests that all subtypes of TBEV, all related ovine/caprine encephalomyelitis viruses, and Omsk hemorrhagic fever virus (OHFV) together correspond to a single species. Within this species, viruses make up 11 subtypes that are reliably segregated by a 10% nucleotide distance cut-off suggested earlier for TBEV. The same 10% subtype cut-off suggests that Powassan virus includes two subtypes, Powassan and Deer Tick virus.","author":[{"dropping-particle":"","family":"Deviatkin","given":"Andrei A","non-dropping-particle":"","parse-names":false,"suffix":""},{"dropping-particle":"","family":"Aleshina","given":"Yulia A","non-dropping-particle":"","parse-names":false,"suffix":""},{"dropping-particle":"","family":"Karganova","given":"Galina G","non-dropping-particle":"","parse-names":false,"suffix":""},{"dropping-particle":"","family":"Lukashev","given":"Alexander N","non-dropping-particle":"","parse-names":false,"suffix":""}],"container-title":"Viruses","id":"ITEM-1","issue":"10","issued":{"date-parts":[["2024","9","30"]]},"page":"1554","title":"Selection Pressure Profile Suggests Species Criteria among Tick-Borne Orthoflaviviruses","type":"article-journal","volume":"16"},"uris":["http://www.mendeley.com/documents/?uuid=3ce1ce96-6ba7-42f2-884a-f00f15a74e55"]}],"mendeley":{"formattedCitation":"[13]","plainTextFormattedCitation":"[13]","previouslyFormattedCitation":"[13]"},"properties":{"noteIndex":0},"schema":"https://github.com/citation-style-language/schema/raw/master/csl-citation.json"}</w:instrText>
            </w:r>
            <w:r w:rsidR="001C7F7B" w:rsidRPr="00373798">
              <w:rPr>
                <w:rFonts w:ascii="Aptos" w:hAnsi="Aptos" w:cs="Arial"/>
                <w:sz w:val="20"/>
                <w:szCs w:val="20"/>
              </w:rPr>
              <w:fldChar w:fldCharType="separate"/>
            </w:r>
            <w:r w:rsidR="001C7F7B" w:rsidRPr="00373798">
              <w:rPr>
                <w:rFonts w:ascii="Aptos" w:hAnsi="Aptos" w:cs="Arial"/>
                <w:noProof/>
                <w:sz w:val="20"/>
                <w:szCs w:val="20"/>
              </w:rPr>
              <w:t>[13]</w:t>
            </w:r>
            <w:r w:rsidR="001C7F7B" w:rsidRPr="00373798">
              <w:rPr>
                <w:rFonts w:ascii="Aptos" w:hAnsi="Aptos" w:cs="Arial"/>
                <w:sz w:val="20"/>
                <w:szCs w:val="20"/>
              </w:rPr>
              <w:fldChar w:fldCharType="end"/>
            </w:r>
            <w:r w:rsidR="001C7F7B" w:rsidRPr="001C7F7B">
              <w:rPr>
                <w:rFonts w:ascii="Aptos" w:hAnsi="Aptos" w:cs="Arial"/>
                <w:sz w:val="20"/>
                <w:szCs w:val="20"/>
              </w:rPr>
              <w:t xml:space="preserve">. </w:t>
            </w:r>
            <w:r w:rsidRPr="00373798">
              <w:rPr>
                <w:rFonts w:ascii="Aptos" w:hAnsi="Aptos" w:cs="Arial"/>
                <w:sz w:val="20"/>
                <w:szCs w:val="20"/>
              </w:rPr>
              <w:t xml:space="preserve">In contrast, the complete polyprotein analysis places OHFV within the TBEV-related cluster, </w:t>
            </w:r>
            <w:proofErr w:type="spellStart"/>
            <w:r w:rsidRPr="00373798">
              <w:rPr>
                <w:rFonts w:ascii="Aptos" w:hAnsi="Aptos" w:cs="Arial"/>
                <w:sz w:val="20"/>
                <w:szCs w:val="20"/>
              </w:rPr>
              <w:t>characterised</w:t>
            </w:r>
            <w:proofErr w:type="spellEnd"/>
            <w:r w:rsidRPr="00373798">
              <w:rPr>
                <w:rFonts w:ascii="Aptos" w:hAnsi="Aptos" w:cs="Arial"/>
                <w:sz w:val="20"/>
                <w:szCs w:val="20"/>
              </w:rPr>
              <w:t xml:space="preserve"> by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values below 0.11, whereas Langat virus consistently falls outside this cluster, with higher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values. </w:t>
            </w:r>
            <w:r w:rsidR="009F7221" w:rsidRPr="001155F8">
              <w:rPr>
                <w:rFonts w:ascii="Aptos" w:hAnsi="Aptos" w:cs="Arial"/>
                <w:sz w:val="20"/>
                <w:szCs w:val="20"/>
              </w:rPr>
              <w:t>Although OHFV exhibits distinct ecological and clinical characteristics, these differences do not coincide with a genome-wide evolutionary discontinuity separating OHFV from the TBEV-related lineage.</w:t>
            </w:r>
            <w:r w:rsidR="009F7221" w:rsidRPr="009F7221">
              <w:rPr>
                <w:rFonts w:ascii="Aptos" w:hAnsi="Aptos" w:cs="Arial"/>
                <w:sz w:val="20"/>
                <w:szCs w:val="20"/>
              </w:rPr>
              <w:t xml:space="preserve"> </w:t>
            </w:r>
            <w:r w:rsidRPr="00373798">
              <w:rPr>
                <w:rFonts w:ascii="Aptos" w:hAnsi="Aptos" w:cs="Arial"/>
                <w:sz w:val="20"/>
                <w:szCs w:val="20"/>
              </w:rPr>
              <w:t>The overlap observed in E-gene analyses likely reflects the limited phylogenetic signal of individual genomic regions and does not represent the evolutionary pattern of the complete virus.</w:t>
            </w:r>
            <w:r w:rsidR="001155F8">
              <w:rPr>
                <w:rFonts w:ascii="Aptos" w:hAnsi="Aptos" w:cs="Arial"/>
                <w:sz w:val="20"/>
                <w:szCs w:val="20"/>
              </w:rPr>
              <w:t xml:space="preserve"> </w:t>
            </w:r>
          </w:p>
          <w:p w14:paraId="5746AB29" w14:textId="28261C2D" w:rsidR="004B6BB8" w:rsidRPr="00373798" w:rsidRDefault="004B6BB8" w:rsidP="004B6BB8">
            <w:pPr>
              <w:rPr>
                <w:rFonts w:ascii="Aptos" w:hAnsi="Aptos" w:cs="Arial"/>
                <w:sz w:val="20"/>
                <w:szCs w:val="20"/>
              </w:rPr>
            </w:pPr>
            <w:r w:rsidRPr="00373798">
              <w:rPr>
                <w:rFonts w:ascii="Aptos" w:hAnsi="Aptos" w:cs="Arial"/>
                <w:sz w:val="20"/>
                <w:szCs w:val="20"/>
              </w:rPr>
              <w:t xml:space="preserve">The use of pairwise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in this framework also differs from codon-based analyses designed to identify individual sites under positive selection. Variation in synonymous substitution rates may influence estimates at individual codons</w:t>
            </w:r>
            <w:r w:rsidR="00912F61" w:rsidRPr="00373798">
              <w:rPr>
                <w:rFonts w:ascii="Aptos" w:hAnsi="Aptos" w:cs="Arial"/>
                <w:sz w:val="20"/>
                <w:szCs w:val="20"/>
              </w:rPr>
              <w:t xml:space="preserve">. </w:t>
            </w:r>
            <w:r w:rsidR="001C7F7B" w:rsidRPr="00373798">
              <w:rPr>
                <w:rFonts w:ascii="Aptos" w:hAnsi="Aptos" w:cs="Arial"/>
                <w:sz w:val="20"/>
                <w:szCs w:val="20"/>
              </w:rPr>
              <w:t>However,</w:t>
            </w:r>
            <w:r w:rsidRPr="00373798">
              <w:rPr>
                <w:rFonts w:ascii="Aptos" w:hAnsi="Aptos" w:cs="Arial"/>
                <w:sz w:val="20"/>
                <w:szCs w:val="20"/>
              </w:rPr>
              <w:t xml:space="preserve"> its impact is substantially reduced when thousands of codons and hundreds of pairwise comparisons are integrated across the complete polyprotein. Therefore, the observed discontinuity reflects genome-wide evolutionary constraints rather than stochastic variation at individual sites.</w:t>
            </w:r>
          </w:p>
          <w:p w14:paraId="09512272" w14:textId="3E3EE873" w:rsidR="00C634F8" w:rsidRPr="00373798" w:rsidRDefault="004B6BB8" w:rsidP="00912F61">
            <w:pPr>
              <w:rPr>
                <w:rFonts w:ascii="Aptos" w:hAnsi="Aptos" w:cs="Arial"/>
                <w:sz w:val="20"/>
                <w:szCs w:val="20"/>
              </w:rPr>
            </w:pPr>
            <w:r w:rsidRPr="00373798">
              <w:rPr>
                <w:rFonts w:ascii="Aptos" w:hAnsi="Aptos" w:cs="Arial"/>
                <w:sz w:val="20"/>
                <w:szCs w:val="20"/>
              </w:rPr>
              <w:t xml:space="preserve">The proposed framework does not consider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as an independent taxonomic criterion replacing ecological, antigenic, or clinical characteristics. Rather, it provides an evolutionary measure that is consistent with the combined interpretation of ICTV criteria. Differences in vector association, host range, and disease manifestations remain biologically important and are retained at the </w:t>
            </w:r>
            <w:r w:rsidR="00736436">
              <w:rPr>
                <w:rFonts w:ascii="Aptos" w:hAnsi="Aptos" w:cs="Arial"/>
                <w:sz w:val="20"/>
                <w:szCs w:val="20"/>
              </w:rPr>
              <w:t>subspecies</w:t>
            </w:r>
            <w:r w:rsidRPr="00373798">
              <w:rPr>
                <w:rFonts w:ascii="Aptos" w:hAnsi="Aptos" w:cs="Arial"/>
                <w:sz w:val="20"/>
                <w:szCs w:val="20"/>
              </w:rPr>
              <w:t xml:space="preserve"> level, but they do not consistently correspond to independent species boundaries. Similar variation occurs among established orthoflavivirus species and is therefore more appropriately interpreted in the context of intraspecific diversification.</w:t>
            </w:r>
          </w:p>
          <w:p w14:paraId="669935DD" w14:textId="77777777" w:rsidR="00912F61" w:rsidRPr="00373798" w:rsidRDefault="00912F61" w:rsidP="00912F61">
            <w:pPr>
              <w:rPr>
                <w:rFonts w:ascii="Aptos" w:hAnsi="Aptos" w:cs="Arial"/>
                <w:sz w:val="20"/>
                <w:szCs w:val="20"/>
              </w:rPr>
            </w:pPr>
          </w:p>
          <w:p w14:paraId="2D436ACD" w14:textId="5913A6BD" w:rsidR="00854E5B" w:rsidRPr="001C7F7B" w:rsidRDefault="00854E5B" w:rsidP="00C634F8">
            <w:pPr>
              <w:rPr>
                <w:rFonts w:ascii="Aptos" w:hAnsi="Aptos" w:cs="Arial"/>
                <w:sz w:val="20"/>
                <w:szCs w:val="20"/>
                <w:u w:val="single"/>
              </w:rPr>
            </w:pPr>
            <w:r w:rsidRPr="00373798">
              <w:rPr>
                <w:rFonts w:ascii="Aptos" w:hAnsi="Aptos" w:cs="Arial"/>
                <w:sz w:val="20"/>
                <w:szCs w:val="20"/>
                <w:u w:val="single"/>
              </w:rPr>
              <w:t xml:space="preserve">2. </w:t>
            </w:r>
            <w:r w:rsidR="00C634F8" w:rsidRPr="00373798">
              <w:rPr>
                <w:rFonts w:ascii="Aptos" w:hAnsi="Aptos" w:cs="Arial"/>
                <w:sz w:val="20"/>
                <w:szCs w:val="20"/>
                <w:u w:val="single"/>
              </w:rPr>
              <w:t xml:space="preserve">The motivation for </w:t>
            </w:r>
            <w:proofErr w:type="gramStart"/>
            <w:r w:rsidR="00C634F8" w:rsidRPr="00373798">
              <w:rPr>
                <w:rFonts w:ascii="Aptos" w:hAnsi="Aptos" w:cs="Arial"/>
                <w:sz w:val="20"/>
                <w:szCs w:val="20"/>
                <w:u w:val="single"/>
              </w:rPr>
              <w:t>2025.007S.A</w:t>
            </w:r>
            <w:proofErr w:type="gramEnd"/>
            <w:r w:rsidR="00C634F8" w:rsidRPr="00373798">
              <w:rPr>
                <w:rFonts w:ascii="Aptos" w:hAnsi="Aptos" w:cs="Arial"/>
                <w:sz w:val="20"/>
                <w:szCs w:val="20"/>
                <w:u w:val="single"/>
              </w:rPr>
              <w:t>.v3.Orthoflavivirus_2nsp_1spren reconsideration</w:t>
            </w:r>
          </w:p>
          <w:p w14:paraId="6D1E6088" w14:textId="5E8C9A0C" w:rsidR="00854E5B" w:rsidRPr="00373798" w:rsidRDefault="00854E5B" w:rsidP="00C634F8">
            <w:pPr>
              <w:rPr>
                <w:rFonts w:ascii="Aptos" w:hAnsi="Aptos" w:cs="Arial"/>
                <w:sz w:val="20"/>
                <w:szCs w:val="20"/>
                <w:u w:val="single"/>
              </w:rPr>
            </w:pPr>
            <w:r w:rsidRPr="00373798">
              <w:rPr>
                <w:rFonts w:ascii="Aptos" w:hAnsi="Aptos" w:cs="Arial"/>
                <w:sz w:val="20"/>
                <w:szCs w:val="20"/>
                <w:u w:val="single"/>
              </w:rPr>
              <w:t>2.1 Nucleotide and deduced amino acid sequence data</w:t>
            </w:r>
          </w:p>
          <w:p w14:paraId="2B22CE74" w14:textId="77777777" w:rsidR="00A629FD" w:rsidRDefault="00A629FD" w:rsidP="00C634F8">
            <w:pPr>
              <w:rPr>
                <w:rFonts w:ascii="Aptos" w:hAnsi="Aptos" w:cs="Arial"/>
                <w:sz w:val="20"/>
                <w:szCs w:val="20"/>
              </w:rPr>
            </w:pPr>
            <w:r w:rsidRPr="00A629FD">
              <w:rPr>
                <w:rFonts w:ascii="Aptos" w:hAnsi="Aptos" w:cs="Arial"/>
                <w:sz w:val="20"/>
                <w:szCs w:val="20"/>
              </w:rPr>
              <w:t>The primary challenge with the adopted classification is that different species delimitation methodologies produced substantially different outcomes, and the rationale for reconciling these differences was not fully explained.</w:t>
            </w:r>
          </w:p>
          <w:p w14:paraId="4D2D9248" w14:textId="63F241EB" w:rsidR="00C76B51" w:rsidRPr="00373798" w:rsidRDefault="00C76B51" w:rsidP="00A629FD">
            <w:pPr>
              <w:rPr>
                <w:rFonts w:ascii="Aptos" w:hAnsi="Aptos" w:cs="Arial"/>
                <w:sz w:val="20"/>
                <w:szCs w:val="20"/>
              </w:rPr>
            </w:pPr>
            <w:r w:rsidRPr="00373798">
              <w:rPr>
                <w:rFonts w:ascii="Aptos" w:hAnsi="Aptos" w:cs="Arial"/>
                <w:sz w:val="20"/>
                <w:szCs w:val="20"/>
              </w:rPr>
              <w:lastRenderedPageBreak/>
              <w:t xml:space="preserve">The three methods employed to delineate species (GMYC, ABGD, PTP) yielded disparate results: PTP identified a total of 19 groups, while GMYC identified 16 and ABGD identified 5 (According to Figure 2b in the </w:t>
            </w:r>
            <w:r w:rsidR="0022505D" w:rsidRPr="00373798">
              <w:rPr>
                <w:rFonts w:ascii="Aptos" w:hAnsi="Aptos" w:cs="Arial"/>
                <w:sz w:val="20"/>
                <w:szCs w:val="20"/>
              </w:rPr>
              <w:t xml:space="preserve">ratified </w:t>
            </w:r>
            <w:r w:rsidRPr="00373798">
              <w:rPr>
                <w:rFonts w:ascii="Aptos" w:hAnsi="Aptos" w:cs="Arial"/>
                <w:sz w:val="20"/>
                <w:szCs w:val="20"/>
              </w:rPr>
              <w:t xml:space="preserve">proposal </w:t>
            </w:r>
            <w:proofErr w:type="gramStart"/>
            <w:r w:rsidR="0022505D" w:rsidRPr="00373798">
              <w:rPr>
                <w:rFonts w:ascii="Aptos" w:hAnsi="Aptos" w:cs="Arial"/>
                <w:sz w:val="20"/>
                <w:szCs w:val="20"/>
              </w:rPr>
              <w:t>2025.007S.A</w:t>
            </w:r>
            <w:proofErr w:type="gramEnd"/>
            <w:r w:rsidR="0022505D" w:rsidRPr="00373798">
              <w:rPr>
                <w:rFonts w:ascii="Aptos" w:hAnsi="Aptos" w:cs="Arial"/>
                <w:sz w:val="20"/>
                <w:szCs w:val="20"/>
              </w:rPr>
              <w:t xml:space="preserve">.v3.Orthoflavivirus_2nsp_1spren </w:t>
            </w:r>
            <w:r w:rsidRPr="00373798">
              <w:rPr>
                <w:rFonts w:ascii="Aptos" w:hAnsi="Aptos" w:cs="Arial"/>
                <w:sz w:val="20"/>
                <w:szCs w:val="20"/>
              </w:rPr>
              <w:t xml:space="preserve">and Fig. 2. at </w:t>
            </w:r>
            <w:r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{"citationItems":[{"id":"ITEM-1","itemData":{"DOI":"10.1016/j.ympev.2022.107411","ISSN":"10959513","PMID":"35032647","abstract":"The tick-borne flavivirus (TBFV) group contains at least 12 members where five of them are important pathogens of humans inducing diseases with varying severity (from mild fever forms to acute encephalitis). The taxonomy structure of TBFV is not fully clarified at present. In particular, there is a number of paraphyletic issues of tick-borne encephalitis virus (TBEV) and louping-ill virus (LIV). In this study, we aimed to apply different bioinformatic approaches to analyze all available complete genome amino acid sequences to delineate TBFV members at the species level. Results showed that the European subtype of TBEV (TBEV-E) is a distinct species unit. LIV, in turn, should be separated into two species. Additional analysis of TBEV and LIV antigenic determinant diversity also demonstrate that TBEV-E and LIV are significantly different both from each other and from the other TBEV subtypes. The analysis of available literature provided data on other virus phenotypic particularities that supported our hypothesis. So, within the TBEV + LIV paraphyletic group, we offer to assign four species to get a more accurate understanding of the TBFV interspecies structure according to the modern monophyletic conception.","author":[{"dropping-particle":"","family":"Bondaryuk","given":"Artem N.","non-dropping-particle":"","parse-names":false,"suffix":""},{"dropping-particle":"","family":"Andaev","given":"Evgeny I.","non-dropping-particle":"","parse-names":false,"suffix":""},{"dropping-particle":"","family":"Dzhioev","given":"Yurij P.","non-dropping-particle":"","parse-names":false,"suffix":""},{"dropping-particle":"","family":"Zlobin","given":"Vladimir I.","non-dropping-particle":"","parse-names":false,"suffix":""},{"dropping-particle":"","family":"Tkachev","given":"Sergey E.","non-dropping-particle":"","parse-names":false,"suffix":""},{"dropping-particle":"V.","family":"Kozlova","given":"Irina","non-dropping-particle":"","parse-names":false,"suffix":""},{"dropping-particle":"","family":"Bukin","given":"Yurij S.","non-dropping-particle":"","parse-names":false,"suffix":""}],"container-title":"Molecular Phylogenetics and Evolution","id":"ITEM-1","issue":"November 2021","issued":{"date-parts":[["2022"]]},"page":"107411","publisher":"Elsevier Inc.","title":"Delimitation of the tick-borne flaviviruses. Resolving the tick-borne encephalitis virus and louping-ill virus paraphyletic taxa","type":"article-journal","volume":"169"},"uris":["http://www.mendeley.com/documents/?uuid=30cc2fb8-01f6-43a6-93fe-17933c0187b2"]}],"mendeley":{"formattedCitation":"[14]","plainTextFormattedCitation":"[14]","previouslyFormattedCitation":"[14]"},"properties":{"noteIndex":0},"schema":"https://github.com/citation-style-language/schema/raw/master/csl-citation.json"}</w:instrText>
            </w:r>
            <w:r w:rsidRPr="00373798">
              <w:rPr>
                <w:rFonts w:ascii="Aptos" w:hAnsi="Aptos" w:cs="Arial"/>
                <w:sz w:val="20"/>
                <w:szCs w:val="20"/>
              </w:rPr>
              <w:fldChar w:fldCharType="separate"/>
            </w:r>
            <w:r w:rsidR="00FE4AC7" w:rsidRPr="00373798">
              <w:rPr>
                <w:rFonts w:ascii="Aptos" w:hAnsi="Aptos" w:cs="Arial"/>
                <w:noProof/>
                <w:sz w:val="20"/>
                <w:szCs w:val="20"/>
              </w:rPr>
              <w:t>[14]</w:t>
            </w:r>
            <w:r w:rsidRPr="00373798">
              <w:rPr>
                <w:rFonts w:ascii="Aptos" w:hAnsi="Aptos" w:cs="Arial"/>
                <w:sz w:val="20"/>
                <w:szCs w:val="20"/>
              </w:rPr>
              <w:fldChar w:fldCharType="end"/>
            </w:r>
            <w:r w:rsidRPr="00373798">
              <w:rPr>
                <w:rFonts w:ascii="Aptos" w:hAnsi="Aptos" w:cs="Arial"/>
                <w:sz w:val="20"/>
                <w:szCs w:val="20"/>
              </w:rPr>
              <w:t xml:space="preserve">). </w:t>
            </w:r>
            <w:r w:rsidR="00C73FFE" w:rsidRPr="00C73FFE">
              <w:rPr>
                <w:rFonts w:ascii="Aptos" w:hAnsi="Aptos" w:cs="Arial"/>
                <w:sz w:val="20"/>
                <w:szCs w:val="20"/>
              </w:rPr>
              <w:t xml:space="preserve">These methods are sensitive to methodological assumptions and require reconciliation with independent evidence. </w:t>
            </w:r>
            <w:r w:rsidRPr="00373798">
              <w:rPr>
                <w:rFonts w:ascii="Aptos" w:hAnsi="Aptos" w:cs="Arial"/>
                <w:sz w:val="20"/>
                <w:szCs w:val="20"/>
              </w:rPr>
              <w:t>The authors of the ratified proposal selected the ABGD result as "more parsimonious"</w:t>
            </w:r>
            <w:r w:rsidR="00A629FD" w:rsidRPr="00A629FD">
              <w:rPr>
                <w:rFonts w:ascii="Aptos" w:hAnsi="Aptos" w:cs="Arial"/>
                <w:sz w:val="20"/>
                <w:szCs w:val="20"/>
              </w:rPr>
              <w:t>. However, the implications of this result were not further discussed or incorporated into the final taxonomic framework.</w:t>
            </w:r>
            <w:r w:rsidRPr="00373798">
              <w:rPr>
                <w:rFonts w:ascii="Aptos" w:hAnsi="Aptos" w:cs="Arial"/>
                <w:sz w:val="20"/>
                <w:szCs w:val="20"/>
              </w:rPr>
              <w:t xml:space="preserve"> Specifically, TBEV-Him, which had been </w:t>
            </w:r>
            <w:r w:rsidR="00411930" w:rsidRPr="00373798">
              <w:rPr>
                <w:rFonts w:ascii="Aptos" w:hAnsi="Aptos" w:cs="Arial"/>
                <w:sz w:val="20"/>
                <w:szCs w:val="20"/>
              </w:rPr>
              <w:t>categorized</w:t>
            </w:r>
            <w:r w:rsidRPr="00373798">
              <w:rPr>
                <w:rFonts w:ascii="Aptos" w:hAnsi="Aptos" w:cs="Arial"/>
                <w:sz w:val="20"/>
                <w:szCs w:val="20"/>
              </w:rPr>
              <w:t xml:space="preserve"> in a distinct group by ABGD, was merged into </w:t>
            </w:r>
            <w:r w:rsidRPr="001C7F7B">
              <w:rPr>
                <w:rFonts w:ascii="Aptos" w:hAnsi="Aptos" w:cs="Arial"/>
                <w:i/>
                <w:iCs/>
                <w:sz w:val="20"/>
                <w:szCs w:val="20"/>
              </w:rPr>
              <w:t xml:space="preserve">O. </w:t>
            </w:r>
            <w:proofErr w:type="spellStart"/>
            <w:r w:rsidRPr="001C7F7B">
              <w:rPr>
                <w:rFonts w:ascii="Aptos" w:hAnsi="Aptos" w:cs="Arial"/>
                <w:i/>
                <w:iCs/>
                <w:sz w:val="20"/>
                <w:szCs w:val="20"/>
              </w:rPr>
              <w:t>zilberi</w:t>
            </w:r>
            <w:proofErr w:type="spellEnd"/>
            <w:r w:rsidRPr="00373798">
              <w:rPr>
                <w:rFonts w:ascii="Aptos" w:hAnsi="Aptos" w:cs="Arial"/>
                <w:sz w:val="20"/>
                <w:szCs w:val="20"/>
              </w:rPr>
              <w:t xml:space="preserve"> without the provision of a rationale for this decision. Furthermore, the separation of other groups, such as TBEV-Eur, TBEV-LIV+SSEV+SGEV, TSEV+GGEV, into </w:t>
            </w:r>
            <w:r w:rsidRPr="001C7F7B">
              <w:rPr>
                <w:rFonts w:ascii="Aptos" w:hAnsi="Aptos" w:cs="Arial"/>
                <w:i/>
                <w:iCs/>
                <w:sz w:val="20"/>
                <w:szCs w:val="20"/>
              </w:rPr>
              <w:t xml:space="preserve">O. </w:t>
            </w:r>
            <w:proofErr w:type="spellStart"/>
            <w:r w:rsidRPr="001C7F7B">
              <w:rPr>
                <w:rFonts w:ascii="Aptos" w:hAnsi="Aptos" w:cs="Arial"/>
                <w:i/>
                <w:iCs/>
                <w:sz w:val="20"/>
                <w:szCs w:val="20"/>
              </w:rPr>
              <w:t>neudoerflense</w:t>
            </w:r>
            <w:proofErr w:type="spellEnd"/>
            <w:r w:rsidRPr="00373798">
              <w:rPr>
                <w:rFonts w:ascii="Aptos" w:hAnsi="Aptos" w:cs="Arial"/>
                <w:sz w:val="20"/>
                <w:szCs w:val="20"/>
              </w:rPr>
              <w:t xml:space="preserve">, </w:t>
            </w:r>
            <w:r w:rsidRPr="001C7F7B">
              <w:rPr>
                <w:rFonts w:ascii="Aptos" w:hAnsi="Aptos" w:cs="Arial"/>
                <w:i/>
                <w:iCs/>
                <w:sz w:val="20"/>
                <w:szCs w:val="20"/>
              </w:rPr>
              <w:t xml:space="preserve">O. </w:t>
            </w:r>
            <w:proofErr w:type="spellStart"/>
            <w:r w:rsidRPr="001C7F7B">
              <w:rPr>
                <w:rFonts w:ascii="Aptos" w:hAnsi="Aptos" w:cs="Arial"/>
                <w:i/>
                <w:iCs/>
                <w:sz w:val="20"/>
                <w:szCs w:val="20"/>
              </w:rPr>
              <w:t>loupingi</w:t>
            </w:r>
            <w:proofErr w:type="spellEnd"/>
            <w:r w:rsidRPr="00373798">
              <w:rPr>
                <w:rFonts w:ascii="Aptos" w:hAnsi="Aptos" w:cs="Arial"/>
                <w:sz w:val="20"/>
                <w:szCs w:val="20"/>
              </w:rPr>
              <w:t xml:space="preserve">, and </w:t>
            </w:r>
            <w:r w:rsidRPr="001C7F7B">
              <w:rPr>
                <w:rFonts w:ascii="Aptos" w:hAnsi="Aptos" w:cs="Arial"/>
                <w:i/>
                <w:iCs/>
                <w:sz w:val="20"/>
                <w:szCs w:val="20"/>
              </w:rPr>
              <w:t xml:space="preserve">O. </w:t>
            </w:r>
            <w:proofErr w:type="spellStart"/>
            <w:r w:rsidRPr="001C7F7B">
              <w:rPr>
                <w:rFonts w:ascii="Aptos" w:hAnsi="Aptos" w:cs="Arial"/>
                <w:i/>
                <w:iCs/>
                <w:sz w:val="20"/>
                <w:szCs w:val="20"/>
              </w:rPr>
              <w:t>mediterranense</w:t>
            </w:r>
            <w:proofErr w:type="spellEnd"/>
            <w:r w:rsidRPr="00373798">
              <w:rPr>
                <w:rFonts w:ascii="Aptos" w:hAnsi="Aptos" w:cs="Arial"/>
                <w:sz w:val="20"/>
                <w:szCs w:val="20"/>
              </w:rPr>
              <w:t xml:space="preserve">, respectively, was based on the output of the ABGD. </w:t>
            </w:r>
            <w:r w:rsidR="00A629FD" w:rsidRPr="00A629FD">
              <w:rPr>
                <w:rFonts w:ascii="Aptos" w:hAnsi="Aptos" w:cs="Arial"/>
                <w:sz w:val="20"/>
                <w:szCs w:val="20"/>
              </w:rPr>
              <w:t>The selective interpretation of these results introduces an element of subjectivity into the taxonomic decision.</w:t>
            </w:r>
          </w:p>
          <w:p w14:paraId="705357C6" w14:textId="6BF37514" w:rsidR="00E229F9" w:rsidRPr="00373798" w:rsidRDefault="00C76B51" w:rsidP="008A1115">
            <w:pPr>
              <w:rPr>
                <w:rFonts w:ascii="Aptos" w:hAnsi="Aptos" w:cs="Arial"/>
                <w:sz w:val="20"/>
                <w:szCs w:val="20"/>
              </w:rPr>
            </w:pPr>
            <w:r w:rsidRPr="00373798">
              <w:rPr>
                <w:rFonts w:ascii="Aptos" w:hAnsi="Aptos" w:cs="Arial"/>
                <w:sz w:val="20"/>
                <w:szCs w:val="20"/>
              </w:rPr>
              <w:t xml:space="preserve">The ABGD output file deposited by the authors as supplementary material to their 2022 publication </w:t>
            </w:r>
            <w:r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{"citationItems":[{"id":"ITEM-1","itemData":{"DOI":"10.1016/j.ympev.2022.107411","ISSN":"10959513","PMID":"35032647","abstract":"The tick-borne flavivirus (TBFV) group contains at least 12 members where five of them are important pathogens of humans inducing diseases with varying severity (from mild fever forms to acute encephalitis). The taxonomy structure of TBFV is not fully clarified at present. In particular, there is a number of paraphyletic issues of tick-borne encephalitis virus (TBEV) and louping-ill virus (LIV). In this study, we aimed to apply different bioinformatic approaches to analyze all available complete genome amino acid sequences to delineate TBFV members at the species level. Results showed that the European subtype of TBEV (TBEV-E) is a distinct species unit. LIV, in turn, should be separated into two species. Additional analysis of TBEV and LIV antigenic determinant diversity also demonstrate that TBEV-E and LIV are significantly different both from each other and from the other TBEV subtypes. The analysis of available literature provided data on other virus phenotypic particularities that supported our hypothesis. So, within the TBEV + LIV paraphyletic group, we offer to assign four species to get a more accurate understanding of the TBFV interspecies structure according to the modern monophyletic conception.","author":[{"dropping-particle":"","family":"Bondaryuk","given":"Artem N.","non-dropping-particle":"","parse-names":false,"suffix":""},{"dropping-particle":"","family":"Andaev","given":"Evgeny I.","non-dropping-particle":"","parse-names":false,"suffix":""},{"dropping-particle":"","family":"Dzhioev","given":"Yurij P.","non-dropping-particle":"","parse-names":false,"suffix":""},{"dropping-particle":"","family":"Zlobin","given":"Vladimir I.","non-dropping-particle":"","parse-names":false,"suffix":""},{"dropping-particle":"","family":"Tkachev","given":"Sergey E.","non-dropping-particle":"","parse-names":false,"suffix":""},{"dropping-particle":"V.","family":"Kozlova","given":"Irina","non-dropping-particle":"","parse-names":false,"suffix":""},{"dropping-particle":"","family":"Bukin","given":"Yurij S.","non-dropping-particle":"","parse-names":false,"suffix":""}],"container-title":"Molecular Phylogenetics and Evolution","id":"ITEM-1","issue":"November 2021","issued":{"date-parts":[["2022"]]},"page":"107411","publisher":"Elsevier Inc.","title":"Delimitation of the tick-borne flaviviruses. Resolving the tick-borne encephalitis virus and louping-ill virus paraphyletic taxa","type":"article-journal","volume":"169"},"uris":["http://www.mendeley.com/documents/?uuid=30cc2fb8-01f6-43a6-93fe-17933c0187b2"]}],"mendeley":{"formattedCitation":"[14]","plainTextFormattedCitation":"[14]","previouslyFormattedCitation":"[14]"},"properties":{"noteIndex":0},"schema":"https://github.com/citation-style-language/schema/raw/master/csl-citation.json"}</w:instrText>
            </w:r>
            <w:r w:rsidRPr="00373798">
              <w:rPr>
                <w:rFonts w:ascii="Aptos" w:hAnsi="Aptos" w:cs="Arial"/>
                <w:sz w:val="20"/>
                <w:szCs w:val="20"/>
              </w:rPr>
              <w:fldChar w:fldCharType="separate"/>
            </w:r>
            <w:r w:rsidR="00FE4AC7" w:rsidRPr="00373798">
              <w:rPr>
                <w:rFonts w:ascii="Aptos" w:hAnsi="Aptos" w:cs="Arial"/>
                <w:noProof/>
                <w:sz w:val="20"/>
                <w:szCs w:val="20"/>
              </w:rPr>
              <w:t>[14]</w:t>
            </w:r>
            <w:r w:rsidRPr="00373798">
              <w:rPr>
                <w:rFonts w:ascii="Aptos" w:hAnsi="Aptos" w:cs="Arial"/>
                <w:sz w:val="20"/>
                <w:szCs w:val="20"/>
              </w:rPr>
              <w:fldChar w:fldCharType="end"/>
            </w:r>
            <w:r w:rsidR="0076058E" w:rsidRPr="00373798">
              <w:rPr>
                <w:rFonts w:ascii="Aptos" w:hAnsi="Aptos" w:cs="Arial"/>
                <w:sz w:val="20"/>
                <w:szCs w:val="20"/>
              </w:rPr>
              <w:t xml:space="preserve"> (available at https://doi.org/10.6084/m9.figshare.17059673 )</w:t>
            </w:r>
            <w:r w:rsidRPr="00373798">
              <w:rPr>
                <w:rFonts w:ascii="Aptos" w:hAnsi="Aptos" w:cs="Arial"/>
                <w:sz w:val="20"/>
                <w:szCs w:val="20"/>
              </w:rPr>
              <w:t xml:space="preserve">, the study on which the proposal's analysis is based, reveals a more complex situation </w:t>
            </w:r>
            <w:r w:rsidR="00E229F9" w:rsidRPr="00373798">
              <w:rPr>
                <w:rFonts w:ascii="Aptos" w:hAnsi="Aptos" w:cs="Arial"/>
                <w:sz w:val="20"/>
                <w:szCs w:val="20"/>
              </w:rPr>
              <w:t>than</w:t>
            </w:r>
            <w:r w:rsidRPr="00373798">
              <w:rPr>
                <w:rFonts w:ascii="Aptos" w:hAnsi="Aptos" w:cs="Arial"/>
                <w:sz w:val="20"/>
                <w:szCs w:val="20"/>
              </w:rPr>
              <w:t xml:space="preserve"> indicated at Figure 2b</w:t>
            </w:r>
            <w:r w:rsidR="00684FC4" w:rsidRPr="00373798">
              <w:rPr>
                <w:rFonts w:ascii="Aptos" w:hAnsi="Aptos" w:cs="Arial"/>
                <w:sz w:val="20"/>
                <w:szCs w:val="20"/>
              </w:rPr>
              <w:t xml:space="preserve"> of the 2025.007S.A.v3.Orthoflavivirus_2nsp_1spren</w:t>
            </w:r>
            <w:r w:rsidRPr="00373798">
              <w:rPr>
                <w:rFonts w:ascii="Aptos" w:hAnsi="Aptos" w:cs="Arial"/>
                <w:sz w:val="20"/>
                <w:szCs w:val="20"/>
              </w:rPr>
              <w:t xml:space="preserve">. </w:t>
            </w:r>
            <w:r w:rsidR="003215E0" w:rsidRPr="00373798">
              <w:rPr>
                <w:rFonts w:ascii="Aptos" w:hAnsi="Aptos" w:cs="Arial"/>
                <w:sz w:val="20"/>
                <w:szCs w:val="20"/>
              </w:rPr>
              <w:t>In the course of the analysis of the alignment for the envelope protein (E gene), the ABGD method was employed to divide the sequences into eight groups. The following clusters have been identified: [TBEV-FE + TBEV-Baik-2], TBEV-Ob, three separate clusters TBEV-Sib, TBEV-Him, TBEV-Eur, and TBEV-LIV. However, the analysis did not include TBEV-</w:t>
            </w:r>
            <w:r w:rsidR="00682825" w:rsidRPr="00373798">
              <w:rPr>
                <w:rFonts w:ascii="Aptos" w:hAnsi="Aptos" w:cs="Arial"/>
                <w:sz w:val="20"/>
                <w:szCs w:val="20"/>
              </w:rPr>
              <w:t>Bkl</w:t>
            </w:r>
            <w:r w:rsidR="003215E0" w:rsidRPr="00373798">
              <w:rPr>
                <w:rFonts w:ascii="Aptos" w:hAnsi="Aptos" w:cs="Arial"/>
                <w:sz w:val="20"/>
                <w:szCs w:val="20"/>
              </w:rPr>
              <w:t xml:space="preserve">-1, TSEV, SSEV, SGEV, and GGEV. Concurrently, when </w:t>
            </w:r>
            <w:r w:rsidR="00411930" w:rsidRPr="00373798">
              <w:rPr>
                <w:rFonts w:ascii="Aptos" w:hAnsi="Aptos" w:cs="Arial"/>
                <w:sz w:val="20"/>
                <w:szCs w:val="20"/>
              </w:rPr>
              <w:t>analyzing</w:t>
            </w:r>
            <w:r w:rsidR="003215E0" w:rsidRPr="00373798">
              <w:rPr>
                <w:rFonts w:ascii="Aptos" w:hAnsi="Aptos" w:cs="Arial"/>
                <w:sz w:val="20"/>
                <w:szCs w:val="20"/>
              </w:rPr>
              <w:t xml:space="preserve"> the alignment for the polyprotein, ABGD identified a total of five groups: [TBEV-FE + TBEV-Sib + TBEV-Ob + TBEV-</w:t>
            </w:r>
            <w:r w:rsidR="00682825" w:rsidRPr="00373798">
              <w:rPr>
                <w:rFonts w:ascii="Aptos" w:hAnsi="Aptos" w:cs="Arial"/>
                <w:sz w:val="20"/>
                <w:szCs w:val="20"/>
              </w:rPr>
              <w:t>Bkl</w:t>
            </w:r>
            <w:r w:rsidR="003215E0" w:rsidRPr="00373798">
              <w:rPr>
                <w:rFonts w:ascii="Aptos" w:hAnsi="Aptos" w:cs="Arial"/>
                <w:sz w:val="20"/>
                <w:szCs w:val="20"/>
              </w:rPr>
              <w:t>-1 + TBEV-</w:t>
            </w:r>
            <w:r w:rsidR="00682825" w:rsidRPr="00373798">
              <w:rPr>
                <w:rFonts w:ascii="Aptos" w:hAnsi="Aptos" w:cs="Arial"/>
                <w:sz w:val="20"/>
                <w:szCs w:val="20"/>
              </w:rPr>
              <w:t>Bkl</w:t>
            </w:r>
            <w:r w:rsidR="003215E0" w:rsidRPr="00373798">
              <w:rPr>
                <w:rFonts w:ascii="Aptos" w:hAnsi="Aptos" w:cs="Arial"/>
                <w:sz w:val="20"/>
                <w:szCs w:val="20"/>
              </w:rPr>
              <w:t>-2], TBEV-Him, TBEV-Eur, [LIV + SGEV + SSEV], and [TSEV + GGEV].</w:t>
            </w:r>
            <w:r w:rsidR="00A629FD" w:rsidRPr="00A629FD">
              <w:rPr>
                <w:rFonts w:ascii="Aptos" w:hAnsi="Aptos" w:cs="Arial"/>
                <w:sz w:val="20"/>
                <w:szCs w:val="20"/>
              </w:rPr>
              <w:t xml:space="preserve"> </w:t>
            </w:r>
            <w:r w:rsidR="00A629FD">
              <w:rPr>
                <w:rFonts w:ascii="Aptos" w:hAnsi="Aptos" w:cs="Arial"/>
                <w:sz w:val="20"/>
                <w:szCs w:val="20"/>
              </w:rPr>
              <w:t>T</w:t>
            </w:r>
            <w:r w:rsidR="00A629FD" w:rsidRPr="00A629FD">
              <w:rPr>
                <w:rFonts w:ascii="Aptos" w:hAnsi="Aptos" w:cs="Arial"/>
                <w:sz w:val="20"/>
                <w:szCs w:val="20"/>
              </w:rPr>
              <w:t>he species delimitation component of the proposal appears to rely primarily on the ABGD output from the polyprotein analysis</w:t>
            </w:r>
            <w:r w:rsidR="008A1115" w:rsidRPr="00373798">
              <w:rPr>
                <w:rFonts w:ascii="Aptos" w:hAnsi="Aptos" w:cs="Arial"/>
                <w:sz w:val="20"/>
                <w:szCs w:val="20"/>
              </w:rPr>
              <w:t>, without a clear explanation for this choice.</w:t>
            </w:r>
            <w:r w:rsidR="00E229F9" w:rsidRPr="00373798">
              <w:rPr>
                <w:rFonts w:ascii="Aptos" w:hAnsi="Aptos" w:cs="Arial"/>
                <w:sz w:val="20"/>
                <w:szCs w:val="20"/>
              </w:rPr>
              <w:t>, nor why the same algorithm partitions the Siberian subtype into three groups when applied to the E protein but merges them when applied to the polyprotein. This point seems worth considering, especially since the proposal later draws on E</w:t>
            </w:r>
            <w:r w:rsidR="00E229F9" w:rsidRPr="00373798">
              <w:rPr>
                <w:rFonts w:ascii="Cambria Math" w:hAnsi="Cambria Math" w:cs="Cambria Math"/>
                <w:sz w:val="20"/>
                <w:szCs w:val="20"/>
              </w:rPr>
              <w:t>‑</w:t>
            </w:r>
            <w:r w:rsidR="00E229F9" w:rsidRPr="00373798">
              <w:rPr>
                <w:rFonts w:ascii="Aptos" w:hAnsi="Aptos" w:cs="Arial"/>
                <w:sz w:val="20"/>
                <w:szCs w:val="20"/>
              </w:rPr>
              <w:t>protein surface</w:t>
            </w:r>
            <w:r w:rsidR="00E229F9" w:rsidRPr="00373798">
              <w:rPr>
                <w:rFonts w:ascii="Cambria Math" w:hAnsi="Cambria Math" w:cs="Cambria Math"/>
                <w:sz w:val="20"/>
                <w:szCs w:val="20"/>
              </w:rPr>
              <w:t>‑</w:t>
            </w:r>
            <w:r w:rsidR="00E229F9" w:rsidRPr="00373798">
              <w:rPr>
                <w:rFonts w:ascii="Aptos" w:hAnsi="Aptos" w:cs="Arial"/>
                <w:sz w:val="20"/>
                <w:szCs w:val="20"/>
              </w:rPr>
              <w:t>residue distances to support species</w:t>
            </w:r>
            <w:r w:rsidR="00E229F9" w:rsidRPr="00373798">
              <w:rPr>
                <w:rFonts w:ascii="Cambria Math" w:hAnsi="Cambria Math" w:cs="Cambria Math"/>
                <w:sz w:val="20"/>
                <w:szCs w:val="20"/>
              </w:rPr>
              <w:t>‑</w:t>
            </w:r>
            <w:r w:rsidR="00E229F9" w:rsidRPr="00373798">
              <w:rPr>
                <w:rFonts w:ascii="Aptos" w:hAnsi="Aptos" w:cs="Arial"/>
                <w:sz w:val="20"/>
                <w:szCs w:val="20"/>
              </w:rPr>
              <w:t xml:space="preserve">level antigenic separation. A more explicit justification for treating the E protein as informative for antigenic </w:t>
            </w:r>
            <w:r w:rsidR="00A629FD">
              <w:rPr>
                <w:rFonts w:ascii="Aptos" w:hAnsi="Aptos" w:cs="Arial"/>
                <w:sz w:val="20"/>
                <w:szCs w:val="20"/>
              </w:rPr>
              <w:t>divergence</w:t>
            </w:r>
            <w:r w:rsidR="00E229F9" w:rsidRPr="00373798">
              <w:rPr>
                <w:rFonts w:ascii="Aptos" w:hAnsi="Aptos" w:cs="Arial"/>
                <w:sz w:val="20"/>
                <w:szCs w:val="20"/>
              </w:rPr>
              <w:t xml:space="preserve"> while setting aside its ABGD output would be helpful.</w:t>
            </w:r>
          </w:p>
          <w:p w14:paraId="48113B29" w14:textId="77777777" w:rsidR="00854E5B" w:rsidRPr="00373798" w:rsidRDefault="00854E5B" w:rsidP="008A1115">
            <w:pPr>
              <w:rPr>
                <w:rFonts w:ascii="Aptos" w:hAnsi="Aptos" w:cs="Arial"/>
                <w:sz w:val="20"/>
                <w:szCs w:val="20"/>
              </w:rPr>
            </w:pPr>
          </w:p>
          <w:p w14:paraId="030C04D8" w14:textId="77777777" w:rsidR="00854E5B" w:rsidRPr="00373798" w:rsidRDefault="00854E5B" w:rsidP="00854E5B">
            <w:pPr>
              <w:rPr>
                <w:rFonts w:ascii="Aptos" w:hAnsi="Aptos" w:cs="Arial"/>
                <w:sz w:val="20"/>
                <w:szCs w:val="20"/>
                <w:u w:val="single"/>
              </w:rPr>
            </w:pPr>
            <w:r w:rsidRPr="00373798">
              <w:rPr>
                <w:rFonts w:ascii="Aptos" w:hAnsi="Aptos" w:cs="Arial"/>
                <w:sz w:val="20"/>
                <w:szCs w:val="20"/>
                <w:u w:val="single"/>
              </w:rPr>
              <w:t>2.2 Antigenic characteristics</w:t>
            </w:r>
          </w:p>
          <w:p w14:paraId="0580BE72" w14:textId="606A4FFF" w:rsidR="008A1115" w:rsidRPr="00373798" w:rsidRDefault="008A1115" w:rsidP="008A1115">
            <w:pPr>
              <w:rPr>
                <w:rFonts w:ascii="Aptos" w:hAnsi="Aptos" w:cs="Arial"/>
                <w:sz w:val="20"/>
                <w:szCs w:val="20"/>
              </w:rPr>
            </w:pPr>
            <w:r w:rsidRPr="00373798">
              <w:rPr>
                <w:rFonts w:ascii="Aptos" w:hAnsi="Aptos" w:cs="Arial"/>
                <w:sz w:val="20"/>
                <w:szCs w:val="20"/>
              </w:rPr>
              <w:t>It is well established that flaviviruses exhibit extensive serological cross</w:t>
            </w:r>
            <w:r w:rsidRPr="00373798">
              <w:rPr>
                <w:rFonts w:ascii="Cambria Math" w:hAnsi="Cambria Math" w:cs="Cambria Math"/>
                <w:sz w:val="20"/>
                <w:szCs w:val="20"/>
              </w:rPr>
              <w:t>‑</w:t>
            </w:r>
            <w:r w:rsidRPr="00373798">
              <w:rPr>
                <w:rFonts w:ascii="Aptos" w:hAnsi="Aptos" w:cs="Arial"/>
                <w:sz w:val="20"/>
                <w:szCs w:val="20"/>
              </w:rPr>
              <w:t xml:space="preserve">reactivity owing to common epitopes within the E protein </w:t>
            </w:r>
            <w:r w:rsidRPr="00373798">
              <w:rPr>
                <w:rFonts w:ascii="Aptos" w:hAnsi="Aptos" w:cs="Calibri"/>
                <w:sz w:val="20"/>
                <w:szCs w:val="20"/>
              </w:rPr>
              <w:t>—</w:t>
            </w:r>
            <w:r w:rsidRPr="00373798">
              <w:rPr>
                <w:rFonts w:ascii="Aptos" w:hAnsi="Aptos" w:cs="Arial"/>
                <w:sz w:val="20"/>
                <w:szCs w:val="20"/>
              </w:rPr>
              <w:t xml:space="preserve"> the primary target of neutralizing antibodies. The proposal presents an </w:t>
            </w:r>
            <w:proofErr w:type="gramStart"/>
            <w:r w:rsidRPr="001C7F7B">
              <w:rPr>
                <w:rFonts w:ascii="Aptos" w:hAnsi="Aptos" w:cs="Arial"/>
                <w:i/>
                <w:iCs/>
                <w:sz w:val="20"/>
                <w:szCs w:val="20"/>
              </w:rPr>
              <w:t>in silico</w:t>
            </w:r>
            <w:proofErr w:type="gramEnd"/>
            <w:r w:rsidRPr="00373798">
              <w:rPr>
                <w:rFonts w:ascii="Aptos" w:hAnsi="Aptos" w:cs="Arial"/>
                <w:sz w:val="20"/>
                <w:szCs w:val="20"/>
              </w:rPr>
              <w:t xml:space="preserve"> comparison of evolutionary distances among surface residues of the E protein and references </w:t>
            </w:r>
            <w:r w:rsidR="00A629FD" w:rsidRPr="00A629FD">
              <w:rPr>
                <w:rFonts w:ascii="Aptos" w:hAnsi="Aptos" w:cs="Arial"/>
                <w:sz w:val="20"/>
                <w:szCs w:val="20"/>
              </w:rPr>
              <w:t>historical</w:t>
            </w:r>
            <w:r w:rsidR="00A629FD">
              <w:rPr>
                <w:rFonts w:ascii="Aptos" w:hAnsi="Aptos" w:cs="Arial"/>
                <w:sz w:val="20"/>
                <w:szCs w:val="20"/>
              </w:rPr>
              <w:t xml:space="preserve"> </w:t>
            </w:r>
            <w:r w:rsidRPr="00373798">
              <w:rPr>
                <w:rFonts w:ascii="Aptos" w:hAnsi="Aptos" w:cs="Arial"/>
                <w:sz w:val="20"/>
                <w:szCs w:val="20"/>
              </w:rPr>
              <w:t xml:space="preserve">serological studies. The </w:t>
            </w:r>
            <w:proofErr w:type="gramStart"/>
            <w:r w:rsidRPr="001C7F7B">
              <w:rPr>
                <w:rFonts w:ascii="Aptos" w:hAnsi="Aptos" w:cs="Arial"/>
                <w:i/>
                <w:iCs/>
                <w:sz w:val="20"/>
                <w:szCs w:val="20"/>
              </w:rPr>
              <w:t>in silico</w:t>
            </w:r>
            <w:proofErr w:type="gramEnd"/>
            <w:r w:rsidRPr="00373798">
              <w:rPr>
                <w:rFonts w:ascii="Aptos" w:hAnsi="Aptos" w:cs="Arial"/>
                <w:sz w:val="20"/>
                <w:szCs w:val="20"/>
              </w:rPr>
              <w:t xml:space="preserve"> analysis, based on 224 amino acid positions previously identified by crystallography as surface</w:t>
            </w:r>
            <w:r w:rsidRPr="00373798">
              <w:rPr>
                <w:rFonts w:ascii="Cambria Math" w:hAnsi="Cambria Math" w:cs="Cambria Math"/>
                <w:sz w:val="20"/>
                <w:szCs w:val="20"/>
              </w:rPr>
              <w:t>‑</w:t>
            </w:r>
            <w:r w:rsidRPr="00373798">
              <w:rPr>
                <w:rFonts w:ascii="Aptos" w:hAnsi="Aptos" w:cs="Arial"/>
                <w:sz w:val="20"/>
                <w:szCs w:val="20"/>
              </w:rPr>
              <w:t>exposed, suggest</w:t>
            </w:r>
            <w:r w:rsidR="00066EA5">
              <w:rPr>
                <w:rFonts w:ascii="Aptos" w:hAnsi="Aptos" w:cs="Arial"/>
                <w:sz w:val="20"/>
                <w:szCs w:val="20"/>
              </w:rPr>
              <w:t>ed</w:t>
            </w:r>
            <w:r w:rsidRPr="00373798">
              <w:rPr>
                <w:rFonts w:ascii="Aptos" w:hAnsi="Aptos" w:cs="Arial"/>
                <w:sz w:val="20"/>
                <w:szCs w:val="20"/>
              </w:rPr>
              <w:t xml:space="preserve"> statistically significant differences between TBEV</w:t>
            </w:r>
            <w:r w:rsidRPr="00373798">
              <w:rPr>
                <w:rFonts w:ascii="Cambria Math" w:hAnsi="Cambria Math" w:cs="Cambria Math"/>
                <w:sz w:val="20"/>
                <w:szCs w:val="20"/>
              </w:rPr>
              <w:t>‑</w:t>
            </w:r>
            <w:r w:rsidRPr="00373798">
              <w:rPr>
                <w:rFonts w:ascii="Aptos" w:hAnsi="Aptos" w:cs="Arial"/>
                <w:sz w:val="20"/>
                <w:szCs w:val="20"/>
              </w:rPr>
              <w:t xml:space="preserve">Eur and other TBEV subtypes, and between LIV and all TBEV subtypes. The proposal also cites </w:t>
            </w:r>
            <w:proofErr w:type="spellStart"/>
            <w:r w:rsidRPr="00373798">
              <w:rPr>
                <w:rFonts w:ascii="Aptos" w:hAnsi="Aptos" w:cs="Arial"/>
                <w:sz w:val="20"/>
                <w:szCs w:val="20"/>
              </w:rPr>
              <w:t>Hubálek</w:t>
            </w:r>
            <w:proofErr w:type="spellEnd"/>
            <w:r w:rsidRPr="00373798">
              <w:rPr>
                <w:rFonts w:ascii="Aptos" w:hAnsi="Aptos" w:cs="Arial"/>
                <w:sz w:val="20"/>
                <w:szCs w:val="20"/>
              </w:rPr>
              <w:t xml:space="preserve"> et al. (1995) </w:t>
            </w:r>
            <w:r w:rsidRPr="00373798">
              <w:rPr>
                <w:rFonts w:ascii="Aptos" w:hAnsi="Aptos" w:cs="Arial"/>
                <w:sz w:val="20"/>
                <w:szCs w:val="20"/>
              </w:rPr>
              <w:fldChar w:fldCharType="begin" w:fldLock="1"/>
            </w:r>
            <w:r w:rsidR="00532AB1" w:rsidRPr="00373798">
              <w:rPr>
                <w:rFonts w:ascii="Aptos" w:hAnsi="Aptos" w:cs="Arial"/>
                <w:sz w:val="20"/>
                <w:szCs w:val="20"/>
              </w:rPr>
              <w:instrText>ADDIN CSL_CITATION {"citationItems":[{"id":"ITEM-1","itemData":{"ISSN":"0001-723X","PMID":"8722293","abstract":"Twenty isolates of Central European encephalitis (CEE) virus were compared with 20 isolates of louping-ill (LI) virus in indirect immunofluorescence test (IIFT), using a panel of 17 monoclonal antibodies (MoAbs) prepared against the prototype LI virus. Three Asian members of the tick-borne encephalitis (TBE) complex were also included in the comparison: Turkish sheep encephalitis (TSE), Russian spring-summer encephalitis (RSSE) and Langat (LGT) viruses. Antigenic relationships of the viruses were evaluated by Dice similarity coefficient and cluster analysis. The results revealed antigenic heterogeneity of LI isolates, antigenic homogeneity of CEE isolates, and indicated that CEE and LI are related varieties of Eurasian TBE flavivirus that also includes TSE and RSSE strains.","author":[{"dropping-particle":"","family":"Hubálek","given":"Z","non-dropping-particle":"","parse-names":false,"suffix":""},{"dropping-particle":"","family":"Pow","given":"I","non-dropping-particle":"","parse-names":false,"suffix":""},{"dropping-particle":"","family":"Reid","given":"H W","non-dropping-particle":"","parse-names":false,"suffix":""},{"dropping-particle":"","family":"Hussain","given":"M H","non-dropping-particle":"","parse-names":false,"suffix":""}],"container-title":"Acta virologica","id":"ITEM-1","issue":"5-6","issued":{"date-parts":[["1995","12"]]},"page":"251-6","title":"Antigenic similarity of central European encephalitis and louping-ill viruses.","type":"article-journal","volume":"39"},"uris":["http://www.mendeley.com/documents/?uuid=04007c7e-90a2-45eb-89a3-d6ea2e5d3fa1"]}],"mendeley":{"formattedCitation":"[8]","plainTextFormattedCitation":"[8]","previouslyFormattedCitation":"[8]"},"properties":{"noteIndex":0},"schema":"https://github.com/citation-style-language/schema/raw/master/csl-citation.json"}</w:instrText>
            </w:r>
            <w:r w:rsidRPr="00373798">
              <w:rPr>
                <w:rFonts w:ascii="Aptos" w:hAnsi="Aptos" w:cs="Arial"/>
                <w:sz w:val="20"/>
                <w:szCs w:val="20"/>
              </w:rPr>
              <w:fldChar w:fldCharType="separate"/>
            </w:r>
            <w:r w:rsidRPr="00373798">
              <w:rPr>
                <w:rFonts w:ascii="Aptos" w:hAnsi="Aptos" w:cs="Arial"/>
                <w:noProof/>
                <w:sz w:val="20"/>
                <w:szCs w:val="20"/>
              </w:rPr>
              <w:t>[8]</w:t>
            </w:r>
            <w:r w:rsidRPr="00373798">
              <w:rPr>
                <w:rFonts w:ascii="Aptos" w:hAnsi="Aptos" w:cs="Arial"/>
                <w:sz w:val="20"/>
                <w:szCs w:val="20"/>
              </w:rPr>
              <w:fldChar w:fldCharType="end"/>
            </w:r>
            <w:r w:rsidRPr="00373798">
              <w:rPr>
                <w:rFonts w:ascii="Aptos" w:hAnsi="Aptos" w:cs="Arial"/>
                <w:sz w:val="20"/>
                <w:szCs w:val="20"/>
              </w:rPr>
              <w:t>, who used indirect immunofluorescence to demonstrate antigenic differences between TBEV</w:t>
            </w:r>
            <w:r w:rsidRPr="00373798">
              <w:rPr>
                <w:rFonts w:ascii="Cambria Math" w:hAnsi="Cambria Math" w:cs="Cambria Math"/>
                <w:sz w:val="20"/>
                <w:szCs w:val="20"/>
              </w:rPr>
              <w:t>‑</w:t>
            </w:r>
            <w:r w:rsidRPr="00373798">
              <w:rPr>
                <w:rFonts w:ascii="Aptos" w:hAnsi="Aptos" w:cs="Arial"/>
                <w:sz w:val="20"/>
                <w:szCs w:val="20"/>
              </w:rPr>
              <w:t>Eur and TBEV</w:t>
            </w:r>
            <w:r w:rsidRPr="00373798">
              <w:rPr>
                <w:rFonts w:ascii="Cambria Math" w:hAnsi="Cambria Math" w:cs="Cambria Math"/>
                <w:sz w:val="20"/>
                <w:szCs w:val="20"/>
              </w:rPr>
              <w:t>‑</w:t>
            </w:r>
            <w:r w:rsidRPr="00373798">
              <w:rPr>
                <w:rFonts w:ascii="Aptos" w:hAnsi="Aptos" w:cs="Arial"/>
                <w:sz w:val="20"/>
                <w:szCs w:val="20"/>
              </w:rPr>
              <w:t>FE.</w:t>
            </w:r>
            <w:r w:rsidR="00C73FFE">
              <w:rPr>
                <w:rFonts w:ascii="Aptos" w:hAnsi="Aptos" w:cs="Arial"/>
                <w:sz w:val="20"/>
                <w:szCs w:val="20"/>
              </w:rPr>
              <w:t xml:space="preserve"> </w:t>
            </w:r>
            <w:r w:rsidR="00C73FFE" w:rsidRPr="00C73FFE">
              <w:rPr>
                <w:rFonts w:ascii="Aptos" w:hAnsi="Aptos" w:cs="Arial"/>
                <w:sz w:val="20"/>
                <w:szCs w:val="20"/>
              </w:rPr>
              <w:t>An analysis of the variability of surface residues in the E protein provides useful evidence of the evolutionary divergence between TBEV-Eur and LIV, but does not in itself constitute direct evidence of differences in antigenic phenotype and should therefore be given limited weight when making taxonomic decisions.</w:t>
            </w:r>
          </w:p>
          <w:p w14:paraId="6EB3CCE4" w14:textId="170EB2D9" w:rsidR="00E229F9" w:rsidRPr="00373798" w:rsidRDefault="008A1115" w:rsidP="008A1115">
            <w:pPr>
              <w:rPr>
                <w:rFonts w:ascii="Aptos" w:hAnsi="Aptos" w:cs="Arial"/>
                <w:sz w:val="20"/>
                <w:szCs w:val="20"/>
              </w:rPr>
            </w:pPr>
            <w:r w:rsidRPr="00373798">
              <w:rPr>
                <w:rFonts w:ascii="Aptos" w:hAnsi="Aptos" w:cs="Arial"/>
                <w:sz w:val="20"/>
                <w:szCs w:val="20"/>
              </w:rPr>
              <w:t xml:space="preserve">However, it cannot be assumed that all neutralizing epitopes are currently known. The E protein dimer is mobile, and </w:t>
            </w:r>
            <w:r w:rsidR="00A629FD" w:rsidRPr="00A629FD">
              <w:rPr>
                <w:rFonts w:ascii="Aptos" w:hAnsi="Aptos" w:cs="Arial"/>
                <w:sz w:val="20"/>
                <w:szCs w:val="20"/>
              </w:rPr>
              <w:t>conformational dynamics ("virus breathing")</w:t>
            </w:r>
            <w:r w:rsidR="00A629FD">
              <w:rPr>
                <w:rFonts w:ascii="Aptos" w:hAnsi="Aptos" w:cs="Arial"/>
                <w:sz w:val="20"/>
                <w:szCs w:val="20"/>
              </w:rPr>
              <w:t xml:space="preserve"> </w:t>
            </w:r>
            <w:r w:rsidRPr="00373798">
              <w:rPr>
                <w:rFonts w:ascii="Aptos" w:hAnsi="Aptos" w:cs="Arial"/>
                <w:sz w:val="20"/>
                <w:szCs w:val="20"/>
              </w:rPr>
              <w:t xml:space="preserve">can expose previously hidden neutralizing epitopes </w:t>
            </w:r>
            <w:r w:rsidR="00532AB1"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{"citationItems":[{"id":"ITEM-1","itemData":{"DOI":"10.1146/annurev-virology-092917-043300","ISSN":"2327-056X","PMID":"30265634","abstract":"Flaviviruses are arthropod-borne RNA viruses that are a significant threat to global health due to their widespread distribution, ability to cause severe disease in humans, and capacity for explosive spread following introduction into new regions. Members of this genus include dengue, tick-borne encephalitis, yellow fever, and Zika viruses. Vaccination has been a highly successful means to control flaviviruses, and neutralizing antibodies are an important component of a protective immune response. High-resolution structures of flavivirus structural proteins and virions, alone and in complex with antibodies, provide a detailed understanding of viral fusion mechanisms and virus-antibody interactions. However, mounting evidence suggests these structures provide only a snapshot of an otherwise structurally dynamic virus particle. The contribution of the structural ensemble arising from viral breathing to the biology, antigenicity, and immunity of flaviviruses is discussed, including implications for the development and evaluation of flavivirus vaccines.","author":[{"dropping-particle":"","family":"Dowd","given":"Kimberly A.","non-dropping-particle":"","parse-names":false,"suffix":""},{"dropping-particle":"","family":"Pierson","given":"Theodore C.","non-dropping-particle":"","parse-names":false,"suffix":""}],"container-title":"Annual Review of Virology","id":"ITEM-1","issue":"1","issued":{"date-parts":[["2018","9","29"]]},"page":"185-207","title":"The Many Faces of a Dynamic Virion: Implications of Viral Breathing on Flavivirus Biology and Immunogenicity","type":"article-journal","volume":"5"},"uris":["http://www.mendeley.com/documents/?uuid=8ad431c3-ccbe-41b0-a1bf-96f121b57454"]}],"mendeley":{"formattedCitation":"[15]","plainTextFormattedCitation":"[15]","previouslyFormattedCitation":"[15]"},"properties":{"noteIndex":0},"schema":"https://github.com/citation-style-language/schema/raw/master/csl-citation.json"}</w:instrText>
            </w:r>
            <w:r w:rsidR="00532AB1" w:rsidRPr="00373798">
              <w:rPr>
                <w:rFonts w:ascii="Aptos" w:hAnsi="Aptos" w:cs="Arial"/>
                <w:sz w:val="20"/>
                <w:szCs w:val="20"/>
              </w:rPr>
              <w:fldChar w:fldCharType="separate"/>
            </w:r>
            <w:r w:rsidR="00FE4AC7" w:rsidRPr="00373798">
              <w:rPr>
                <w:rFonts w:ascii="Aptos" w:hAnsi="Aptos" w:cs="Arial"/>
                <w:noProof/>
                <w:sz w:val="20"/>
                <w:szCs w:val="20"/>
              </w:rPr>
              <w:t>[15]</w:t>
            </w:r>
            <w:r w:rsidR="00532AB1" w:rsidRPr="00373798">
              <w:rPr>
                <w:rFonts w:ascii="Aptos" w:hAnsi="Aptos" w:cs="Arial"/>
                <w:sz w:val="20"/>
                <w:szCs w:val="20"/>
              </w:rPr>
              <w:fldChar w:fldCharType="end"/>
            </w:r>
            <w:r w:rsidRPr="00373798">
              <w:rPr>
                <w:rFonts w:ascii="Aptos" w:hAnsi="Aptos" w:cs="Arial"/>
                <w:sz w:val="20"/>
                <w:szCs w:val="20"/>
              </w:rPr>
              <w:t xml:space="preserve">. Moreover, new epitopes continue to be identified </w:t>
            </w:r>
            <w:r w:rsidR="00532AB1"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{"citationItems":[{"id":"ITEM-1","itemData":{"DOI":"10.3390/v15061256","ISSN":"1999-4915","abstract":"Orthoflavivirus encephalitidis, formerly tick-borne encephalitis virus (TBEV), belongs to the Orthoflavivirus genus. TBEV is transmitted by tick bites and infection with TBEV can lead to serious disorders of the central nervous system. In this study, a new protective monoclonal mouse antibody (mAb) FVN-32, with high binding activity to glycoprotein E of TBEV, was selected and examined in post exposure prophylaxis in a mouse model of TBEV infection. BALB/c mice were injected mAb FVN-32 at doses of 200 μg, 50 μg, and 12.5 μg per mouse one day after a TBEV challenge. mAb FVN-32 showed 37.5% protective efficacy when administered at doses of 200 μg and 50 μg per mouse. The epitope for protective mAb FVN-32 was localized in TBEV glycoprotein E domain I+II, using a set of truncated fragments of glycoprotein E. Additionally, the target site recognized by mAb FVN-32 was defined using combinatorial libraries of peptides. Three-dimensional modeling revealed that the site is dspatially close to the fusion loop, but does not come into contact with it, and is localized in a region between 247 and 254 amino acid residues on the envelope protein. This region is conserved among TBEV-like orthoflaviviruses.","author":[{"dropping-particle":"","family":"Matveev","given":"Andrey","non-dropping-particle":"","parse-names":false,"suffix":""},{"dropping-particle":"","family":"Khlusevich","given":"Yana","non-dropping-particle":"","parse-names":false,"suffix":""},{"dropping-particle":"","family":"Kozlova","given":"Irina","non-dropping-particle":"","parse-names":false,"suffix":""},{"dropping-particle":"","family":"Matveev","given":"Leonid","non-dropping-particle":"","parse-names":false,"suffix":""},{"dropping-particle":"","family":"Emelyanova","given":"Lyudmila","non-dropping-particle":"","parse-names":false,"suffix":""},{"dropping-particle":"","family":"Tikunov","given":"Artem","non-dropping-particle":"","parse-names":false,"suffix":""},{"dropping-particle":"","family":"Baykov","given":"Ivan","non-dropping-particle":"","parse-names":false,"suffix":""},{"dropping-particle":"","family":"Tikunova","given":"Nina","non-dropping-particle":"","parse-names":false,"suffix":""}],"container-title":"Viruses","id":"ITEM-1","issue":"6","issued":{"date-parts":[["2023","5","26"]]},"page":"1256","title":"New Neutralizing Epitope Exposed on the Domain II of Tick-Borne Encephalitis Virus Envelope Glycoprotein E","type":"article-journal","volume":"15"},"uris":["http://www.mendeley.com/documents/?uuid=92805832-b051-4ec0-aac9-9b243014a2d7"]},{"id":"ITEM-2","itemData":{"DOI":"10.1371/journal.pone.0016059","ISSN":"1932-6203","author":[{"dropping-particle":"","family":"Deng","given":"Yong-Qiang","non-dropping-particle":"","parse-names":false,"suffix":""},{"dropping-particle":"","family":"Dai","given":"Jian-Xin","non-dropping-particle":"","parse-names":false,"suffix":""},{"dropping-particle":"","family":"Ji","given":"Guang-Hui","non-dropping-particle":"","parse-names":false,"suffix":""},{"dropping-particle":"","family":"Jiang","given":"Tao","non-dropping-particle":"","parse-names":false,"suffix":""},{"dropping-particle":"","family":"Wang","given":"Hua-Jing","non-dropping-particle":"","parse-names":false,"suffix":""},{"dropping-particle":"","family":"Yang","given":"Hai-ou","non-dropping-particle":"","parse-names":false,"suffix":""},{"dropping-particle":"","family":"Tan","given":"Weng-Long","non-dropping-particle":"","parse-names":false,"suffix":""},{"dropping-particle":"","family":"Liu","given":"Ran","non-dropping-particle":"","parse-names":false,"suffix":""},{"dropping-particle":"","family":"Yu","given":"Man","non-dropping-particle":"","parse-names":false,"suffix":""},{"dropping-particle":"","family":"Ge","given":"Bao-Xue","non-dropping-particle":"","parse-names":false,"suffix":""},{"dropping-particle":"","family":"Zhu","given":"Qing-Yu","non-dropping-particle":"","parse-names":false,"suffix":""},{"dropping-particle":"","family":"Qin","given":"E-De","non-dropping-particle":"","parse-names":false,"suffix":""},{"dropping-particle":"","family":"Guo","given":"Ya-Jun","non-dropping-particle":"","parse-names":false,"suffix":""},{"dropping-particle":"","family":"Qin","given":"Cheng-Feng","non-dropping-particle":"","parse-names":false,"suffix":""}],"container-title":"PLoS ONE","editor":[{"dropping-particle":"","family":"Park","given":"Man-Seong","non-dropping-particle":"","parse-names":false,"suffix":""}],"id":"ITEM-2","issue":"1","issued":{"date-parts":[["2011","1","11"]]},"page":"e16059","title":"A Broadly Flavivirus Cross-Neutralizing Monoclonal Antibody that Recognizes a Novel Epitope within the Fusion Loop of E Protein","type":"article-journal","volume":"6"},"uris":["http://www.mendeley.com/documents/?uuid=63626f77-57ab-4a9e-9845-a79fb1e74fb5"]}],"mendeley":{"formattedCitation":"[16, 17]","plainTextFormattedCitation":"[16, 17]","previouslyFormattedCitation":"[16, 17]"},"properties":{"noteIndex":0},"schema":"https://github.com/citation-style-language/schema/raw/master/csl-citation.json"}</w:instrText>
            </w:r>
            <w:r w:rsidR="00532AB1" w:rsidRPr="00373798">
              <w:rPr>
                <w:rFonts w:ascii="Aptos" w:hAnsi="Aptos" w:cs="Arial"/>
                <w:sz w:val="20"/>
                <w:szCs w:val="20"/>
              </w:rPr>
              <w:fldChar w:fldCharType="separate"/>
            </w:r>
            <w:r w:rsidR="00FE4AC7" w:rsidRPr="00373798">
              <w:rPr>
                <w:rFonts w:ascii="Aptos" w:hAnsi="Aptos" w:cs="Arial"/>
                <w:noProof/>
                <w:sz w:val="20"/>
                <w:szCs w:val="20"/>
              </w:rPr>
              <w:t>[16, 17]</w:t>
            </w:r>
            <w:r w:rsidR="00532AB1" w:rsidRPr="00373798">
              <w:rPr>
                <w:rFonts w:ascii="Aptos" w:hAnsi="Aptos" w:cs="Arial"/>
                <w:sz w:val="20"/>
                <w:szCs w:val="20"/>
              </w:rPr>
              <w:fldChar w:fldCharType="end"/>
            </w:r>
            <w:r w:rsidRPr="00373798">
              <w:rPr>
                <w:rFonts w:ascii="Aptos" w:hAnsi="Aptos" w:cs="Arial"/>
                <w:sz w:val="20"/>
                <w:szCs w:val="20"/>
              </w:rPr>
              <w:t>. This evolving understanding of E</w:t>
            </w:r>
            <w:r w:rsidRPr="00373798">
              <w:rPr>
                <w:rFonts w:ascii="Cambria Math" w:hAnsi="Cambria Math" w:cs="Cambria Math"/>
                <w:sz w:val="20"/>
                <w:szCs w:val="20"/>
              </w:rPr>
              <w:t>‑</w:t>
            </w:r>
            <w:r w:rsidRPr="00373798">
              <w:rPr>
                <w:rFonts w:ascii="Aptos" w:hAnsi="Aptos" w:cs="Arial"/>
                <w:sz w:val="20"/>
                <w:szCs w:val="20"/>
              </w:rPr>
              <w:t xml:space="preserve">protein antigenicity raises questions about the completeness of any static </w:t>
            </w:r>
            <w:r w:rsidRPr="00066EA5">
              <w:rPr>
                <w:rFonts w:ascii="Aptos" w:hAnsi="Aptos" w:cs="Arial"/>
                <w:i/>
                <w:iCs/>
                <w:sz w:val="20"/>
                <w:szCs w:val="20"/>
              </w:rPr>
              <w:t>in silico</w:t>
            </w:r>
            <w:r w:rsidRPr="00373798">
              <w:rPr>
                <w:rFonts w:ascii="Aptos" w:hAnsi="Aptos" w:cs="Arial"/>
                <w:sz w:val="20"/>
                <w:szCs w:val="20"/>
              </w:rPr>
              <w:t xml:space="preserve"> comparison based solely on currently mapped surface residues. A comparison restricted to a limited set of structurally defined positions may over</w:t>
            </w:r>
            <w:r w:rsidRPr="00373798">
              <w:rPr>
                <w:rFonts w:ascii="Cambria Math" w:hAnsi="Cambria Math" w:cs="Cambria Math"/>
                <w:sz w:val="20"/>
                <w:szCs w:val="20"/>
              </w:rPr>
              <w:t>‑</w:t>
            </w:r>
            <w:r w:rsidRPr="00373798">
              <w:rPr>
                <w:rFonts w:ascii="Aptos" w:hAnsi="Aptos" w:cs="Arial"/>
                <w:sz w:val="20"/>
                <w:szCs w:val="20"/>
              </w:rPr>
              <w:t xml:space="preserve"> or underestimate the </w:t>
            </w:r>
            <w:r w:rsidR="00A629FD">
              <w:rPr>
                <w:rFonts w:ascii="Aptos" w:hAnsi="Aptos" w:cs="Arial"/>
                <w:sz w:val="20"/>
                <w:szCs w:val="20"/>
              </w:rPr>
              <w:t>extent</w:t>
            </w:r>
            <w:r w:rsidRPr="00373798">
              <w:rPr>
                <w:rFonts w:ascii="Aptos" w:hAnsi="Aptos" w:cs="Arial"/>
                <w:sz w:val="20"/>
                <w:szCs w:val="20"/>
              </w:rPr>
              <w:t xml:space="preserve"> </w:t>
            </w:r>
            <w:r w:rsidR="001155F8">
              <w:rPr>
                <w:rFonts w:ascii="Aptos" w:hAnsi="Aptos" w:cs="Arial"/>
                <w:sz w:val="20"/>
                <w:szCs w:val="20"/>
              </w:rPr>
              <w:t xml:space="preserve">of </w:t>
            </w:r>
            <w:r w:rsidRPr="00373798">
              <w:rPr>
                <w:rFonts w:ascii="Aptos" w:hAnsi="Aptos" w:cs="Arial"/>
                <w:sz w:val="20"/>
                <w:szCs w:val="20"/>
              </w:rPr>
              <w:t xml:space="preserve">antigenic divergence, and its relationship to </w:t>
            </w:r>
            <w:proofErr w:type="spellStart"/>
            <w:r w:rsidRPr="00373798">
              <w:rPr>
                <w:rFonts w:ascii="Aptos" w:hAnsi="Aptos" w:cs="Arial"/>
                <w:sz w:val="20"/>
                <w:szCs w:val="20"/>
              </w:rPr>
              <w:t>neutralisation</w:t>
            </w:r>
            <w:proofErr w:type="spellEnd"/>
            <w:r w:rsidRPr="00373798">
              <w:rPr>
                <w:rFonts w:ascii="Aptos" w:hAnsi="Aptos" w:cs="Arial"/>
                <w:sz w:val="20"/>
                <w:szCs w:val="20"/>
              </w:rPr>
              <w:t xml:space="preserve"> phenotypes has not been experimentally validated. In the absence of direct cross</w:t>
            </w:r>
            <w:r w:rsidRPr="00373798">
              <w:rPr>
                <w:rFonts w:ascii="Cambria Math" w:hAnsi="Cambria Math" w:cs="Cambria Math"/>
                <w:sz w:val="20"/>
                <w:szCs w:val="20"/>
              </w:rPr>
              <w:t>‑</w:t>
            </w:r>
            <w:proofErr w:type="spellStart"/>
            <w:r w:rsidRPr="00373798">
              <w:rPr>
                <w:rFonts w:ascii="Aptos" w:hAnsi="Aptos" w:cs="Arial"/>
                <w:sz w:val="20"/>
                <w:szCs w:val="20"/>
              </w:rPr>
              <w:t>neutralisation</w:t>
            </w:r>
            <w:proofErr w:type="spellEnd"/>
            <w:r w:rsidRPr="00373798">
              <w:rPr>
                <w:rFonts w:ascii="Aptos" w:hAnsi="Aptos" w:cs="Arial"/>
                <w:sz w:val="20"/>
                <w:szCs w:val="20"/>
              </w:rPr>
              <w:t xml:space="preserve"> data, the taxonomic weight of such in silico analysis should be interpreted with caution.</w:t>
            </w:r>
          </w:p>
          <w:p w14:paraId="28A4FCE2" w14:textId="77777777" w:rsidR="00854E5B" w:rsidRPr="00373798" w:rsidRDefault="00854E5B" w:rsidP="00854E5B">
            <w:pPr>
              <w:rPr>
                <w:rFonts w:ascii="Aptos" w:hAnsi="Aptos" w:cs="Arial"/>
                <w:sz w:val="20"/>
                <w:szCs w:val="20"/>
              </w:rPr>
            </w:pPr>
          </w:p>
          <w:p w14:paraId="39DD5016" w14:textId="6C3A183E" w:rsidR="00684FC4" w:rsidRPr="00373798" w:rsidRDefault="00854E5B" w:rsidP="00C634F8">
            <w:pPr>
              <w:rPr>
                <w:rFonts w:ascii="Aptos" w:hAnsi="Aptos" w:cs="Arial"/>
                <w:sz w:val="20"/>
                <w:szCs w:val="20"/>
              </w:rPr>
            </w:pPr>
            <w:r w:rsidRPr="00373798">
              <w:rPr>
                <w:rFonts w:ascii="Aptos" w:hAnsi="Aptos" w:cs="Arial"/>
                <w:sz w:val="20"/>
                <w:szCs w:val="20"/>
                <w:u w:val="single"/>
              </w:rPr>
              <w:t xml:space="preserve">2.3 </w:t>
            </w:r>
            <w:r w:rsidR="00EA4DCC" w:rsidRPr="00373798">
              <w:rPr>
                <w:rFonts w:ascii="Aptos" w:hAnsi="Aptos" w:cs="Arial"/>
                <w:sz w:val="20"/>
                <w:szCs w:val="20"/>
                <w:u w:val="single"/>
              </w:rPr>
              <w:t>Disease association</w:t>
            </w:r>
          </w:p>
          <w:p w14:paraId="4976F7FB" w14:textId="173DE1F7" w:rsidR="000830C5" w:rsidRPr="00373798" w:rsidRDefault="000830C5" w:rsidP="000830C5">
            <w:pPr>
              <w:rPr>
                <w:rFonts w:ascii="Aptos" w:hAnsi="Aptos" w:cs="Arial"/>
                <w:sz w:val="20"/>
                <w:szCs w:val="20"/>
              </w:rPr>
            </w:pPr>
            <w:r w:rsidRPr="00373798">
              <w:rPr>
                <w:rFonts w:ascii="Aptos" w:hAnsi="Aptos" w:cs="Arial"/>
                <w:sz w:val="20"/>
                <w:szCs w:val="20"/>
              </w:rPr>
              <w:t xml:space="preserve">The ratified proposal reviews experimental infections in sheep and monkeys, reporting higher </w:t>
            </w:r>
            <w:proofErr w:type="spellStart"/>
            <w:r w:rsidRPr="00373798">
              <w:rPr>
                <w:rFonts w:ascii="Aptos" w:hAnsi="Aptos" w:cs="Arial"/>
                <w:sz w:val="20"/>
                <w:szCs w:val="20"/>
              </w:rPr>
              <w:t>neuroinvasiveness</w:t>
            </w:r>
            <w:proofErr w:type="spellEnd"/>
            <w:r w:rsidRPr="00373798">
              <w:rPr>
                <w:rFonts w:ascii="Aptos" w:hAnsi="Aptos" w:cs="Arial"/>
                <w:sz w:val="20"/>
                <w:szCs w:val="20"/>
              </w:rPr>
              <w:t xml:space="preserve"> and mortality for TBEV</w:t>
            </w:r>
            <w:r w:rsidRPr="00373798">
              <w:rPr>
                <w:rFonts w:ascii="Cambria Math" w:hAnsi="Cambria Math" w:cs="Cambria Math"/>
                <w:sz w:val="20"/>
                <w:szCs w:val="20"/>
              </w:rPr>
              <w:t>‑</w:t>
            </w:r>
            <w:r w:rsidRPr="00373798">
              <w:rPr>
                <w:rFonts w:ascii="Aptos" w:hAnsi="Aptos" w:cs="Arial"/>
                <w:sz w:val="20"/>
                <w:szCs w:val="20"/>
              </w:rPr>
              <w:t>FE compared to TBEV</w:t>
            </w:r>
            <w:r w:rsidRPr="00373798">
              <w:rPr>
                <w:rFonts w:ascii="Cambria Math" w:hAnsi="Cambria Math" w:cs="Cambria Math"/>
                <w:sz w:val="20"/>
                <w:szCs w:val="20"/>
              </w:rPr>
              <w:t>‑</w:t>
            </w:r>
            <w:r w:rsidRPr="00373798">
              <w:rPr>
                <w:rFonts w:ascii="Aptos" w:hAnsi="Aptos" w:cs="Arial"/>
                <w:sz w:val="20"/>
                <w:szCs w:val="20"/>
              </w:rPr>
              <w:t>Eur. It also cites widely quoted differences in human case</w:t>
            </w:r>
            <w:r w:rsidRPr="00373798">
              <w:rPr>
                <w:rFonts w:ascii="Cambria Math" w:hAnsi="Cambria Math" w:cs="Cambria Math"/>
                <w:sz w:val="20"/>
                <w:szCs w:val="20"/>
              </w:rPr>
              <w:t>‑</w:t>
            </w:r>
            <w:r w:rsidRPr="00373798">
              <w:rPr>
                <w:rFonts w:ascii="Aptos" w:hAnsi="Aptos" w:cs="Arial"/>
                <w:sz w:val="20"/>
                <w:szCs w:val="20"/>
              </w:rPr>
              <w:t>fatality rates (CFR): ~20% for TBEV</w:t>
            </w:r>
            <w:r w:rsidRPr="00373798">
              <w:rPr>
                <w:rFonts w:ascii="Cambria Math" w:hAnsi="Cambria Math" w:cs="Cambria Math"/>
                <w:sz w:val="20"/>
                <w:szCs w:val="20"/>
              </w:rPr>
              <w:t>‑</w:t>
            </w:r>
            <w:r w:rsidRPr="00373798">
              <w:rPr>
                <w:rFonts w:ascii="Aptos" w:hAnsi="Aptos" w:cs="Arial"/>
                <w:sz w:val="20"/>
                <w:szCs w:val="20"/>
              </w:rPr>
              <w:t>FE versus 1</w:t>
            </w:r>
            <w:r w:rsidRPr="00373798">
              <w:rPr>
                <w:rFonts w:ascii="Aptos" w:hAnsi="Aptos" w:cs="Calibri"/>
                <w:sz w:val="20"/>
                <w:szCs w:val="20"/>
              </w:rPr>
              <w:t>–</w:t>
            </w:r>
            <w:r w:rsidRPr="00373798">
              <w:rPr>
                <w:rFonts w:ascii="Aptos" w:hAnsi="Aptos" w:cs="Arial"/>
                <w:sz w:val="20"/>
                <w:szCs w:val="20"/>
              </w:rPr>
              <w:t>2% for TBEV</w:t>
            </w:r>
            <w:r w:rsidRPr="00373798">
              <w:rPr>
                <w:rFonts w:ascii="Cambria Math" w:hAnsi="Cambria Math" w:cs="Cambria Math"/>
                <w:sz w:val="20"/>
                <w:szCs w:val="20"/>
              </w:rPr>
              <w:t>‑</w:t>
            </w:r>
            <w:r w:rsidRPr="00373798">
              <w:rPr>
                <w:rFonts w:ascii="Aptos" w:hAnsi="Aptos" w:cs="Arial"/>
                <w:sz w:val="20"/>
                <w:szCs w:val="20"/>
              </w:rPr>
              <w:t>Eur.</w:t>
            </w:r>
          </w:p>
          <w:p w14:paraId="7414437A" w14:textId="0E684664" w:rsidR="000830C5" w:rsidRPr="00373798" w:rsidRDefault="000830C5" w:rsidP="000830C5">
            <w:pPr>
              <w:rPr>
                <w:rFonts w:ascii="Aptos" w:hAnsi="Aptos" w:cs="Arial"/>
                <w:sz w:val="20"/>
                <w:szCs w:val="20"/>
              </w:rPr>
            </w:pPr>
            <w:r w:rsidRPr="00373798">
              <w:rPr>
                <w:rFonts w:ascii="Aptos" w:hAnsi="Aptos" w:cs="Arial"/>
                <w:sz w:val="20"/>
                <w:szCs w:val="20"/>
              </w:rPr>
              <w:t xml:space="preserve">These data require careful interpretation. The animal experiments were conducted on a small number of strains and have not been replicated with larger panels under </w:t>
            </w:r>
            <w:r w:rsidR="00411930" w:rsidRPr="00373798">
              <w:rPr>
                <w:rFonts w:ascii="Aptos" w:hAnsi="Aptos" w:cs="Arial"/>
                <w:sz w:val="20"/>
                <w:szCs w:val="20"/>
              </w:rPr>
              <w:t>standardized</w:t>
            </w:r>
            <w:r w:rsidRPr="00373798">
              <w:rPr>
                <w:rFonts w:ascii="Aptos" w:hAnsi="Aptos" w:cs="Arial"/>
                <w:sz w:val="20"/>
                <w:szCs w:val="20"/>
              </w:rPr>
              <w:t xml:space="preserve"> conditions. </w:t>
            </w:r>
            <w:r w:rsidRPr="00373798">
              <w:rPr>
                <w:rFonts w:ascii="Aptos" w:hAnsi="Aptos" w:cs="Arial"/>
                <w:sz w:val="20"/>
                <w:szCs w:val="20"/>
              </w:rPr>
              <w:lastRenderedPageBreak/>
              <w:t xml:space="preserve">Attributing virulence differences to the </w:t>
            </w:r>
            <w:r w:rsidR="00736436">
              <w:rPr>
                <w:rFonts w:ascii="Aptos" w:hAnsi="Aptos" w:cs="Arial"/>
                <w:sz w:val="20"/>
                <w:szCs w:val="20"/>
              </w:rPr>
              <w:t>subspecies</w:t>
            </w:r>
            <w:r w:rsidRPr="00373798">
              <w:rPr>
                <w:rFonts w:ascii="Aptos" w:hAnsi="Aptos" w:cs="Arial"/>
                <w:sz w:val="20"/>
                <w:szCs w:val="20"/>
              </w:rPr>
              <w:t xml:space="preserve"> level, rather than to strain</w:t>
            </w:r>
            <w:r w:rsidRPr="00373798">
              <w:rPr>
                <w:rFonts w:ascii="Cambria Math" w:hAnsi="Cambria Math" w:cs="Cambria Math"/>
                <w:sz w:val="20"/>
                <w:szCs w:val="20"/>
              </w:rPr>
              <w:t>‑</w:t>
            </w:r>
            <w:r w:rsidRPr="00373798">
              <w:rPr>
                <w:rFonts w:ascii="Aptos" w:hAnsi="Aptos" w:cs="Arial"/>
                <w:sz w:val="20"/>
                <w:szCs w:val="20"/>
              </w:rPr>
              <w:t>specific properties, is therefore problematic. The human CFR originate from observations made in the mid</w:t>
            </w:r>
            <w:r w:rsidRPr="00373798">
              <w:rPr>
                <w:rFonts w:ascii="Cambria Math" w:hAnsi="Cambria Math" w:cs="Cambria Math"/>
                <w:sz w:val="20"/>
                <w:szCs w:val="20"/>
              </w:rPr>
              <w:t>‑</w:t>
            </w:r>
            <w:r w:rsidRPr="00373798">
              <w:rPr>
                <w:rFonts w:ascii="Aptos" w:hAnsi="Aptos" w:cs="Arial"/>
                <w:sz w:val="20"/>
                <w:szCs w:val="20"/>
              </w:rPr>
              <w:t>20th century, when access to medical care varied considerably across the vast territory of the Soviet Union.</w:t>
            </w:r>
          </w:p>
          <w:p w14:paraId="312EA22F" w14:textId="06216A3E" w:rsidR="000830C5" w:rsidRPr="00373798" w:rsidRDefault="000830C5" w:rsidP="000830C5">
            <w:pPr>
              <w:rPr>
                <w:rFonts w:ascii="Aptos" w:hAnsi="Aptos" w:cs="Arial"/>
                <w:sz w:val="20"/>
                <w:szCs w:val="20"/>
              </w:rPr>
            </w:pPr>
            <w:r w:rsidRPr="00373798">
              <w:rPr>
                <w:rFonts w:ascii="Aptos" w:hAnsi="Aptos" w:cs="Arial"/>
                <w:sz w:val="20"/>
                <w:szCs w:val="20"/>
              </w:rPr>
              <w:t>Contemporary Russian federal</w:t>
            </w:r>
            <w:r w:rsidRPr="00373798">
              <w:rPr>
                <w:rFonts w:ascii="Cambria Math" w:hAnsi="Cambria Math" w:cs="Cambria Math"/>
                <w:sz w:val="20"/>
                <w:szCs w:val="20"/>
              </w:rPr>
              <w:t>‑</w:t>
            </w:r>
            <w:r w:rsidRPr="00373798">
              <w:rPr>
                <w:rFonts w:ascii="Aptos" w:hAnsi="Aptos" w:cs="Arial"/>
                <w:sz w:val="20"/>
                <w:szCs w:val="20"/>
              </w:rPr>
              <w:t xml:space="preserve">district data show comparable CFRs across regions endemic for different subtypes. Notably, in 2024, no fatal cases were reported in the region endemic for the Far Eastern subtype </w:t>
            </w:r>
            <w:r w:rsidR="008C5EFE"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{"citationItems":[{"id":"ITEM-1","itemData":{"DOI":"10.21055/0370-1069-2025-1-6-17","ISSN":"2658-719X","abstract":"The aim of the review is to conduct a comparative analysis of the epidemiological situation on tick-borne viral encephalitis (TBVE) in the constituent entities of the Russian Federation in 2015–2024 and to provide a forecast of the incidence rate for 2025. According to the data for 2015–2024, the number of visits to medical organizations by people that suffered from tick bites remained approximately at the same level and averaged 491,871.2 cases per year. The Siberian, Volga, and Ural Federal Districts are of primary importance for the formation of the incidence rate, accounting for more than 75 % of all cases. In 2024, 1 659 patients with TBVE were identified, which is only slightly less than in the previous year (1 778). The morbidity rate per 100 thousand population (1.13) was lower than the long-term average for the period of 2015–2024 (1.17). 46 lethal outcomes were registered (mortality rate 2.7 %), which is 1.3 times higher than the long-term average. The epidemic process in 2024 was most active in the territories of 11 entities of the Russian Federation: Krasnoyarsk and Perm Territories, Sverdlovsk, Kirov, Irkutsk, Novosibirsk and Kemerovo Regions, TransBaikal Territory, St. Petersburg city, Udmurt Republic, and Arkhangelsk Region. The number of virus containing ticks removed from people and from environmental objects, when studied using PCR and ELISA, in the Russian Federation as a whole in 2024 did not exceed the long-term average value. The infection rate of ticks removed from people has statistically significantly decreased over a ten-year period. The review examines the volumes of specific and non-specific TBVE prevention measures taken in Russia in 2024 and compares them with the data from previous years. It is predicted that the situation on TBVE incidence in 2025 will remain at the average long-term level in six federal districts of the country. However, in the Far Eastern Federal District, mainly due to the change in the epidemiological situation in the TransBaikal Territory, a statistically significant trend towards an increase in the morbidity and mortality has emerged, which is taken into account when making the forecast of the TBVE incidence rate for this federal district in 2025.","author":[{"dropping-particle":"","family":"Andaev","given":"E. I.","non-dropping-particle":"","parse-names":false,"suffix":""},{"dropping-particle":"","family":"Nikitin","given":"A. Ya.","non-dropping-particle":"","parse-names":false,"suffix":""},{"dropping-particle":"","family":"Tolmacheva","given":"M. I.","non-dropping-particle":"","parse-names":false,"suffix":""},{"dropping-particle":"","family":"Zarva","given":"I. D.","non-dropping-particle":"","parse-names":false,"suffix":""},{"dropping-particle":"","family":"Sidorova","given":"E. A.","non-dropping-particle":"","parse-names":false,"suffix":""},{"dropping-particle":"","family":"Bondaryuk","given":"A. N.","non-dropping-particle":"","parse-names":false,"suffix":""},{"dropping-particle":"V.","family":"Yatsmenko","given":"E.","non-dropping-particle":"","parse-names":false,"suffix":""},{"dropping-particle":"V.","family":"Sevostianova","given":"A.","non-dropping-particle":"","parse-names":false,"suffix":""},{"dropping-particle":"V.","family":"Lopatovskaya","given":"K.","non-dropping-particle":"","parse-names":false,"suffix":""},{"dropping-particle":"","family":"Babash","given":"V. A.","non-dropping-particle":"","parse-names":false,"suffix":""},{"dropping-particle":"V.","family":"Balakhonov","given":"S.","non-dropping-particle":"","parse-names":false,"suffix":""}],"container-title":"Problems of Particularly Dangerous Infections","id":"ITEM-1","issue":"1","issued":{"date-parts":[["2025","3","27"]]},"page":"6-17","title":"Epidemiological Situation on Tick-Borne Viral Encephalitis in the Russian Federation over the Period of 2015–2024 and Short-Term Incidence Forecast for 2025","type":"article-journal"},"uris":["http://www.mendeley.com/documents/?uuid=487e9776-5187-40ad-89a7-620c1949d664"]}],"mendeley":{"formattedCitation":"[18]","plainTextFormattedCitation":"[18]","previouslyFormattedCitation":"[18]"},"properties":{"noteIndex":0},"schema":"https://github.com/citation-style-language/schema/raw/master/csl-citation.json"}</w:instrText>
            </w:r>
            <w:r w:rsidR="008C5EFE" w:rsidRPr="00373798">
              <w:rPr>
                <w:rFonts w:ascii="Aptos" w:hAnsi="Aptos" w:cs="Arial"/>
                <w:sz w:val="20"/>
                <w:szCs w:val="20"/>
              </w:rPr>
              <w:fldChar w:fldCharType="separate"/>
            </w:r>
            <w:r w:rsidR="00FE4AC7" w:rsidRPr="00373798">
              <w:rPr>
                <w:rFonts w:ascii="Aptos" w:hAnsi="Aptos" w:cs="Arial"/>
                <w:noProof/>
                <w:sz w:val="20"/>
                <w:szCs w:val="20"/>
              </w:rPr>
              <w:t>[18]</w:t>
            </w:r>
            <w:r w:rsidR="008C5EFE" w:rsidRPr="00373798">
              <w:rPr>
                <w:rFonts w:ascii="Aptos" w:hAnsi="Aptos" w:cs="Arial"/>
                <w:sz w:val="20"/>
                <w:szCs w:val="20"/>
              </w:rPr>
              <w:fldChar w:fldCharType="end"/>
            </w:r>
            <w:r w:rsidRPr="00373798">
              <w:rPr>
                <w:rFonts w:ascii="Aptos" w:hAnsi="Aptos" w:cs="Arial"/>
                <w:sz w:val="20"/>
                <w:szCs w:val="20"/>
              </w:rPr>
              <w:t xml:space="preserve">. Furthermore, serosurveys in endemic regions consistently report high seroprevalence (10–50%), indicating that the majority of infections with all subtypes are asymptomatic or mild </w:t>
            </w:r>
            <w:r w:rsidR="008C5EFE" w:rsidRPr="00373798">
              <w:rPr>
                <w:rFonts w:ascii="Aptos" w:hAnsi="Aptos" w:cs="Arial"/>
                <w:sz w:val="20"/>
                <w:szCs w:val="20"/>
              </w:rPr>
              <w:fldChar w:fldCharType="begin" w:fldLock="1"/>
            </w:r>
            <w:r w:rsidR="006021DB" w:rsidRPr="00373798">
              <w:rPr>
                <w:rFonts w:ascii="Aptos" w:hAnsi="Aptos" w:cs="Arial"/>
                <w:sz w:val="20"/>
                <w:szCs w:val="20"/>
              </w:rPr>
              <w:instrText xml:space="preserve">ADDIN CSL_CITATION {"citationItems":[{"id":"ITEM-1","itemData":{"DOI":"10.1016/j.antiviral.2019.01.014","ISSN":"18729096","abstract":"Tick-borne encephalitis (TBE) is an illness caused by tick-borne encephalitis virus (TBEV) infection which is often limited to a febrile illness, but may lead to very aggressive downstream neurological manifestations. The disease is prevalent in forested areas of Europe and northeastern Asia, and is typically caused by infection involving one of three TBEV subtypes, namely the European (TBEV-Eu), the Siberian (TBEV-Sib), or the Far Eastern (TBEV-FE) subtypes. In addition to the three main TBEV subtypes, two other subtypes; i.e., the Baikalian (TBEV-Bkl) and the Himalayan subtype (TBEV-Him), have been described recently. In Europe, TBEV-Eu infection usually results in only mild TBE associated with a mortality rate of &lt;2%. TBEV-Sib infection also results in a generally mild TBE associated with a non-paralytic febrile form of encephalitis, although there is a tendency towards persistent TBE caused by chronic viral infection. TBE-FE infection is considered to induce the most severe forms of TBE. Importantly though, viral subtype is not the sole determinant of TBE severity; both mild and severe cases of TBE are in fact associated with infection by any of the subtypes. In keeping with this observation, the overall TBE mortality rate in Russia is </w:instrText>
            </w:r>
            <w:r w:rsidR="006021DB" w:rsidRPr="00373798">
              <w:rPr>
                <w:rFonts w:ascii="Cambria Math" w:hAnsi="Cambria Math" w:cs="Cambria Math"/>
                <w:sz w:val="20"/>
                <w:szCs w:val="20"/>
              </w:rPr>
              <w:instrText>∼</w:instrText>
            </w:r>
            <w:r w:rsidR="006021DB" w:rsidRPr="00373798">
              <w:rPr>
                <w:rFonts w:ascii="Aptos" w:hAnsi="Aptos" w:cs="Arial"/>
                <w:sz w:val="20"/>
                <w:szCs w:val="20"/>
              </w:rPr>
              <w:instrText>2%, in spite of the fact that TBEV-Sib and TBEV-FE subtypes appear to be inducers of more severe TBE than TBEV-Eu. On the other hand, TBEV-Sib and TBEV-FE subtype infections in Russia are associated with essentially unique forms of TBE rarely seen elsewhere if at all, such as the hemorrhagic and chronic (progressive) forms of the disease. For post-exposure prophylaxis and TBE treatment in Russia and Kazakhstan, a specific anti-TBEV immunoglobulin is currently used with well-documented efficacy, but the use of specific TBEV immunoglobulins has been discontinued in Europe due to concerns regarding antibody-enhanced disease in naïve individuals. Therefore, new treatments are essential. This review summarizes available data on the pathogenesis and clinical features of TBE, plus different vaccine preparations available in Europe and Russia. In addition, new treatment possibilities, including small molecule drugs and experimental immunotherapies are reviewed. The authors caution that their descriptions of approved or experimental therapies should not be considered to be recommendations for patient care.","author":[{"dropping-particle":"","family":"Ruzek","given":"Daniel","non-dropping-particle":"","parse-names":false,"suffix":""},{"dropping-particle":"","family":"Avšič Županc","given":"Tatjana","non-dropping-particle":"","parse-names":false,"suffix":""},{"dropping-particle":"","family":"Borde","given":"Johannes","non-dropping-particle":"","parse-names":false,"suffix":""},{"dropping-particle":"","family":"Chrdle","given":"Ales","non-dropping-particle":"","parse-names":false,"suffix":""},{"dropping-particle":"","family":"Eyer","given":"Ludek","non-dropping-particle":"","parse-names":false,"suffix":""},{"dropping-particle":"","family":"Karganova","given":"Galina","non-dropping-particle":"","parse-names":false,"suffix":""},{"dropping-particle":"","family":"Kholodilov","given":"Ivan","non-dropping-particle":"","parse-names":false,"suffix":""},{"dropping-particle":"","family":"Knap","given":"Nataša","non-dropping-particle":"","parse-names":false,"suffix":""},{"dropping-particle":"","family":"Kozlovskaya","given":"Liubov","non-dropping-particle":"","parse-names":false,"suffix":""},{"dropping-particle":"","family":"Matveev","given":"Andrey","non-dropping-particle":"","parse-names":false,"suffix":""},{"dropping-particle":"","family":"Miller","given":"Andrew D.","non-dropping-particle":"","parse-names":false,"suffix":""},{"dropping-particle":"","family":"Osolodkin","given":"Dmitry I.","non-dropping-particle":"","parse-names":false,"suffix":""},{"dropping-particle":"","family":"Överby","given":"Anna K.","non-dropping-particle":"","parse-names":false,"suffix":""},{"dropping-particle":"","family":"Tikunova","given":"Nina","non-dropping-particle":"","parse-names":false,"suffix":""},{"dropping-particle":"","family":"Tkachev","given":"Sergey","non-dropping-particle":"","parse-names":false,"suffix":""},{"dropping-particle":"","family":"Zajkowska","given":"Joanna","non-dropping-particle":"","parse-names":false,"suffix":""}],"container-title":"Antiviral Research","id":"ITEM-1","issue":"January","issued":{"date-parts":[["2019"]]},"page":"23-51","title":"Tick-borne encephalitis in Europe and Russia: Review of pathogenesis, clinical features, therapy, and vaccines","type":"article-journal","volume":"164"},"uris":["http://www.mendeley.com/documents/?uuid=2276a62c-d1ae-473f-a437-361d158bbc2c"]}],"mendeley":{"formattedCitation":"[19]","plainTextFormattedCitation":"[19]","previouslyFormattedCitation":"[19]"},"properties":{"noteIndex":0},"schema":"https://github.com/citation-style-language/schema/raw/master/csl-citation.json"}</w:instrText>
            </w:r>
            <w:r w:rsidR="008C5EFE" w:rsidRPr="00373798">
              <w:rPr>
                <w:rFonts w:ascii="Aptos" w:hAnsi="Aptos" w:cs="Arial"/>
                <w:sz w:val="20"/>
                <w:szCs w:val="20"/>
              </w:rPr>
              <w:fldChar w:fldCharType="separate"/>
            </w:r>
            <w:r w:rsidR="00FE4AC7" w:rsidRPr="00373798">
              <w:rPr>
                <w:rFonts w:ascii="Aptos" w:hAnsi="Aptos" w:cs="Arial"/>
                <w:noProof/>
                <w:sz w:val="20"/>
                <w:szCs w:val="20"/>
              </w:rPr>
              <w:t>[19]</w:t>
            </w:r>
            <w:r w:rsidR="008C5EFE" w:rsidRPr="00373798">
              <w:rPr>
                <w:rFonts w:ascii="Aptos" w:hAnsi="Aptos" w:cs="Arial"/>
                <w:sz w:val="20"/>
                <w:szCs w:val="20"/>
              </w:rPr>
              <w:fldChar w:fldCharType="end"/>
            </w:r>
            <w:r w:rsidRPr="00373798">
              <w:rPr>
                <w:rFonts w:ascii="Aptos" w:hAnsi="Aptos" w:cs="Arial"/>
                <w:sz w:val="20"/>
                <w:szCs w:val="20"/>
              </w:rPr>
              <w:t>.</w:t>
            </w:r>
          </w:p>
          <w:p w14:paraId="4827F05B" w14:textId="42DB39C0" w:rsidR="00EA4DCC" w:rsidRPr="00373798" w:rsidRDefault="000830C5" w:rsidP="000830C5">
            <w:pPr>
              <w:rPr>
                <w:rFonts w:ascii="Aptos" w:hAnsi="Aptos" w:cs="Arial"/>
                <w:sz w:val="20"/>
                <w:szCs w:val="20"/>
              </w:rPr>
            </w:pPr>
            <w:r w:rsidRPr="00373798">
              <w:rPr>
                <w:rFonts w:ascii="Aptos" w:hAnsi="Aptos" w:cs="Arial"/>
                <w:sz w:val="20"/>
                <w:szCs w:val="20"/>
              </w:rPr>
              <w:t>Thus, disease severity does not appear to be a reliable species</w:t>
            </w:r>
            <w:r w:rsidRPr="00373798">
              <w:rPr>
                <w:rFonts w:ascii="Cambria Math" w:hAnsi="Cambria Math" w:cs="Cambria Math"/>
                <w:sz w:val="20"/>
                <w:szCs w:val="20"/>
              </w:rPr>
              <w:t>‑</w:t>
            </w:r>
            <w:r w:rsidRPr="00373798">
              <w:rPr>
                <w:rFonts w:ascii="Aptos" w:hAnsi="Aptos" w:cs="Arial"/>
                <w:sz w:val="20"/>
                <w:szCs w:val="20"/>
              </w:rPr>
              <w:t xml:space="preserve">demarcation criterion for this group according to </w:t>
            </w:r>
            <w:r w:rsidR="00411930">
              <w:rPr>
                <w:rFonts w:ascii="Aptos" w:hAnsi="Aptos" w:cs="Arial"/>
                <w:sz w:val="20"/>
                <w:szCs w:val="20"/>
              </w:rPr>
              <w:t>the recent</w:t>
            </w:r>
            <w:r w:rsidR="00411930" w:rsidRPr="00373798">
              <w:rPr>
                <w:rFonts w:ascii="Aptos" w:hAnsi="Aptos" w:cs="Arial"/>
                <w:sz w:val="20"/>
                <w:szCs w:val="20"/>
              </w:rPr>
              <w:t xml:space="preserve"> </w:t>
            </w:r>
            <w:r w:rsidRPr="00373798">
              <w:rPr>
                <w:rFonts w:ascii="Aptos" w:hAnsi="Aptos" w:cs="Arial"/>
                <w:sz w:val="20"/>
                <w:szCs w:val="20"/>
              </w:rPr>
              <w:t xml:space="preserve">data. The clinical differences highlighted in the </w:t>
            </w:r>
            <w:r w:rsidR="00BF416F" w:rsidRPr="00373798">
              <w:rPr>
                <w:rFonts w:ascii="Aptos" w:hAnsi="Aptos" w:cs="Arial"/>
                <w:sz w:val="20"/>
                <w:szCs w:val="20"/>
              </w:rPr>
              <w:t xml:space="preserve">ratified </w:t>
            </w:r>
            <w:r w:rsidRPr="00373798">
              <w:rPr>
                <w:rFonts w:ascii="Aptos" w:hAnsi="Aptos" w:cs="Arial"/>
                <w:sz w:val="20"/>
                <w:szCs w:val="20"/>
              </w:rPr>
              <w:t>proposal may be attributable, at least in part, to historical surveillance bias and strain</w:t>
            </w:r>
            <w:r w:rsidRPr="00373798">
              <w:rPr>
                <w:rFonts w:ascii="Cambria Math" w:hAnsi="Cambria Math" w:cs="Cambria Math"/>
                <w:sz w:val="20"/>
                <w:szCs w:val="20"/>
              </w:rPr>
              <w:t>‑</w:t>
            </w:r>
            <w:r w:rsidRPr="00373798">
              <w:rPr>
                <w:rFonts w:ascii="Aptos" w:hAnsi="Aptos" w:cs="Arial"/>
                <w:sz w:val="20"/>
                <w:szCs w:val="20"/>
              </w:rPr>
              <w:t>specific effects rather than to intrinsic properties of the subtypes.</w:t>
            </w:r>
          </w:p>
          <w:p w14:paraId="19E3C2A6" w14:textId="1848C3BB" w:rsidR="00C634F8" w:rsidRPr="00373798" w:rsidRDefault="00C634F8" w:rsidP="00C634F8">
            <w:pPr>
              <w:rPr>
                <w:rFonts w:ascii="Aptos" w:hAnsi="Aptos" w:cs="Arial"/>
                <w:sz w:val="20"/>
                <w:szCs w:val="20"/>
              </w:rPr>
            </w:pPr>
          </w:p>
          <w:p w14:paraId="74A08BA2" w14:textId="50D68F53" w:rsidR="008C5EFE" w:rsidRPr="00373798" w:rsidRDefault="008C5EFE" w:rsidP="008C5EFE">
            <w:pPr>
              <w:rPr>
                <w:rFonts w:ascii="Aptos" w:hAnsi="Aptos" w:cs="Arial"/>
                <w:sz w:val="20"/>
                <w:szCs w:val="20"/>
              </w:rPr>
            </w:pPr>
            <w:r w:rsidRPr="00373798">
              <w:rPr>
                <w:rFonts w:ascii="Aptos" w:hAnsi="Aptos" w:cs="Arial"/>
                <w:sz w:val="20"/>
                <w:szCs w:val="20"/>
                <w:u w:val="single"/>
              </w:rPr>
              <w:t>2.</w:t>
            </w:r>
            <w:r w:rsidR="00342DAF" w:rsidRPr="00373798">
              <w:rPr>
                <w:rFonts w:ascii="Aptos" w:hAnsi="Aptos" w:cs="Arial"/>
                <w:sz w:val="20"/>
                <w:szCs w:val="20"/>
                <w:u w:val="single"/>
              </w:rPr>
              <w:t>4</w:t>
            </w:r>
            <w:r w:rsidRPr="00373798">
              <w:rPr>
                <w:rFonts w:ascii="Aptos" w:hAnsi="Aptos" w:cs="Arial"/>
                <w:sz w:val="20"/>
                <w:szCs w:val="20"/>
                <w:u w:val="single"/>
              </w:rPr>
              <w:t xml:space="preserve"> Geographic association</w:t>
            </w:r>
          </w:p>
          <w:p w14:paraId="4EBE1C12" w14:textId="51613029" w:rsidR="00342DAF" w:rsidRPr="00373798" w:rsidRDefault="00342DAF" w:rsidP="00342DAF">
            <w:pPr>
              <w:rPr>
                <w:rFonts w:ascii="Aptos" w:hAnsi="Aptos" w:cs="Arial"/>
                <w:sz w:val="20"/>
                <w:szCs w:val="20"/>
              </w:rPr>
            </w:pPr>
            <w:r w:rsidRPr="00373798">
              <w:rPr>
                <w:rFonts w:ascii="Aptos" w:hAnsi="Aptos" w:cs="Arial"/>
                <w:sz w:val="20"/>
                <w:szCs w:val="20"/>
              </w:rPr>
              <w:t xml:space="preserve">The </w:t>
            </w:r>
            <w:r w:rsidR="00411930" w:rsidRPr="00373798">
              <w:rPr>
                <w:rFonts w:ascii="Aptos" w:hAnsi="Aptos" w:cs="Arial"/>
                <w:sz w:val="20"/>
                <w:szCs w:val="20"/>
              </w:rPr>
              <w:t>recognized</w:t>
            </w:r>
            <w:r w:rsidRPr="00373798">
              <w:rPr>
                <w:rFonts w:ascii="Aptos" w:hAnsi="Aptos" w:cs="Arial"/>
                <w:sz w:val="20"/>
                <w:szCs w:val="20"/>
              </w:rPr>
              <w:t xml:space="preserve"> </w:t>
            </w:r>
            <w:proofErr w:type="spellStart"/>
            <w:r w:rsidR="00736436">
              <w:rPr>
                <w:rFonts w:ascii="Aptos" w:hAnsi="Aptos" w:cs="Arial"/>
                <w:sz w:val="20"/>
                <w:szCs w:val="20"/>
              </w:rPr>
              <w:t>subspecies</w:t>
            </w:r>
            <w:r w:rsidRPr="00373798">
              <w:rPr>
                <w:rFonts w:ascii="Aptos" w:hAnsi="Aptos" w:cs="Arial"/>
                <w:sz w:val="20"/>
                <w:szCs w:val="20"/>
              </w:rPr>
              <w:t>s</w:t>
            </w:r>
            <w:proofErr w:type="spellEnd"/>
            <w:r w:rsidRPr="00373798">
              <w:rPr>
                <w:rFonts w:ascii="Aptos" w:hAnsi="Aptos" w:cs="Arial"/>
                <w:sz w:val="20"/>
                <w:szCs w:val="20"/>
              </w:rPr>
              <w:t xml:space="preserve"> and tentative species of the TBEV complex display broadly distinct geographic distributions. For example, TBEV</w:t>
            </w:r>
            <w:r w:rsidRPr="00373798">
              <w:rPr>
                <w:rFonts w:ascii="Cambria Math" w:hAnsi="Cambria Math" w:cs="Cambria Math"/>
                <w:sz w:val="20"/>
                <w:szCs w:val="20"/>
              </w:rPr>
              <w:t>‑</w:t>
            </w:r>
            <w:r w:rsidRPr="00373798">
              <w:rPr>
                <w:rFonts w:ascii="Aptos" w:hAnsi="Aptos" w:cs="Arial"/>
                <w:sz w:val="20"/>
                <w:szCs w:val="20"/>
              </w:rPr>
              <w:t>Eur is widespread across Europe; TBEV</w:t>
            </w:r>
            <w:r w:rsidRPr="00373798">
              <w:rPr>
                <w:rFonts w:ascii="Cambria Math" w:hAnsi="Cambria Math" w:cs="Cambria Math"/>
                <w:sz w:val="20"/>
                <w:szCs w:val="20"/>
              </w:rPr>
              <w:t>‑</w:t>
            </w:r>
            <w:r w:rsidRPr="00373798">
              <w:rPr>
                <w:rFonts w:ascii="Aptos" w:hAnsi="Aptos" w:cs="Arial"/>
                <w:sz w:val="20"/>
                <w:szCs w:val="20"/>
              </w:rPr>
              <w:t>Sib occurs in a belt extending from Scandinavia to Siberia; TBEV</w:t>
            </w:r>
            <w:r w:rsidRPr="00373798">
              <w:rPr>
                <w:rFonts w:ascii="Cambria Math" w:hAnsi="Cambria Math" w:cs="Cambria Math"/>
                <w:sz w:val="20"/>
                <w:szCs w:val="20"/>
              </w:rPr>
              <w:t>‑</w:t>
            </w:r>
            <w:r w:rsidRPr="00373798">
              <w:rPr>
                <w:rFonts w:ascii="Aptos" w:hAnsi="Aptos" w:cs="Arial"/>
                <w:sz w:val="20"/>
                <w:szCs w:val="20"/>
              </w:rPr>
              <w:t xml:space="preserve">FE predominates in the Far East and parts of Siberia; LIV is largely restricted to the British Isles </w:t>
            </w:r>
            <w:r w:rsidR="00C8456C" w:rsidRPr="00373798">
              <w:rPr>
                <w:rFonts w:ascii="Aptos" w:hAnsi="Aptos" w:cs="Arial"/>
                <w:sz w:val="20"/>
                <w:szCs w:val="20"/>
              </w:rPr>
              <w:t xml:space="preserve">yet it has also been found in the Russian Far East and Japan </w:t>
            </w:r>
            <w:r w:rsidR="00C8456C"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{"citationItems":[{"id":"ITEM-1","itemData":{"DOI":"10.1016/j.jcpa.2018.09.004","ISSN":"00219975","PMID":"30502792","abstract":"Louping-ill (LI), caused by louping-ill virus (LIV), results in a frequently fatal encephalitis primarily affecting sheep and red grouse (Lagopus lagopus scotica), but it does occur in other species. An adult male Border collie dog was definitively diagnosed with fatal LI and the lesion profile, LIV antigen distribution and full genome sequence of the LIV responsible were investigated to determine if this differed significantly from sheep-derived LIV. No gross lesions were present. The histological lesions were confined to the central nervous system and comprised of lymphocytic perivascular cuffs, glial foci, neuronal necrosis and neuronophagia. Immunolocalization of viral antigen showed small amounts present in neurons only. These histological and immunohistochemical findings were similar to those reported in affected sheep. Compared with published full genome sequences of sheep-derived LIV, only very minor differences were present and phylogenetically the virus clustered individually between a subclade containing Scottish strains, LIV 369/T2 and G and another subclade containing an English isolate LIV A. The LIV isolated from the dog shares a common progenitor with LIV A. These findings suggest there is no canine-specific LIV strain, dogs are susceptible to sheep-associated strains of LI and with the increase in tick prevalence, and therefore exposure to LIV, a safe, effective vaccine for dogs may be required.","author":[{"dropping-particle":"","family":"Dagleish","given":"M.P. P.","non-dropping-particle":"","parse-names":false,"suffix":""},{"dropping-particle":"","family":"Clark","given":"J.J. J.","non-dropping-particle":"","parse-names":false,"suffix":""},{"dropping-particle":"","family":"Robson","given":"C.","non-dropping-particle":"","parse-names":false,"suffix":""},{"dropping-particle":"","family":"Tucker","given":"M.","non-dropping-particle":"","parse-names":false,"suffix":""},{"dropping-particle":"","family":"Orton","given":"R.J. J.","non-dropping-particle":"","parse-names":false,"suffix":""},{"dropping-particle":"","family":"Rocchi","given":"M.S. S.","non-dropping-particle":"","parse-names":false,"suffix":""}],"container-title":"Journal of Comparative Pathology","id":"ITEM-1","issued":{"date-parts":[["2018","11"]]},"page":"23-32","publisher":"Elsevier Ltd","title":"A Fatal Case of Louping-ill in a Dog: Immunolocalization and Full Genome Sequencing of the Virus","type":"article-journal","volume":"165"},"uris":["http://www.mendeley.com/documents/?uuid=2ca93e11-a53a-47a1-b62c-f183f370cc84"]}],"mendeley":{"formattedCitation":"[20]","plainTextFormattedCitation":"[20]","previouslyFormattedCitation":"[20]"},"properties":{"noteIndex":0},"schema":"https://github.com/citation-style-language/schema/raw/master/csl-citation.json"}</w:instrText>
            </w:r>
            <w:r w:rsidR="00C8456C" w:rsidRPr="00373798">
              <w:rPr>
                <w:rFonts w:ascii="Aptos" w:hAnsi="Aptos" w:cs="Arial"/>
                <w:sz w:val="20"/>
                <w:szCs w:val="20"/>
              </w:rPr>
              <w:fldChar w:fldCharType="separate"/>
            </w:r>
            <w:r w:rsidR="00FE4AC7" w:rsidRPr="00373798">
              <w:rPr>
                <w:rFonts w:ascii="Aptos" w:hAnsi="Aptos" w:cs="Arial"/>
                <w:noProof/>
                <w:sz w:val="20"/>
                <w:szCs w:val="20"/>
              </w:rPr>
              <w:t>[20]</w:t>
            </w:r>
            <w:r w:rsidR="00C8456C" w:rsidRPr="00373798">
              <w:rPr>
                <w:rFonts w:ascii="Aptos" w:hAnsi="Aptos" w:cs="Arial"/>
                <w:sz w:val="20"/>
                <w:szCs w:val="20"/>
              </w:rPr>
              <w:fldChar w:fldCharType="end"/>
            </w:r>
            <w:r w:rsidRPr="00373798">
              <w:rPr>
                <w:rFonts w:ascii="Aptos" w:hAnsi="Aptos" w:cs="Arial"/>
                <w:sz w:val="20"/>
                <w:szCs w:val="20"/>
              </w:rPr>
              <w:t>; and the Mediterranean isolates (SSEV, SGEV, TSEV, GGEV) have been documented predominantly in southern Europe.</w:t>
            </w:r>
          </w:p>
          <w:p w14:paraId="4EC166B2" w14:textId="06E86152" w:rsidR="00342DAF" w:rsidRPr="00373798" w:rsidRDefault="00342DAF" w:rsidP="00342DAF">
            <w:pPr>
              <w:rPr>
                <w:rFonts w:ascii="Aptos" w:hAnsi="Aptos" w:cs="Arial"/>
                <w:sz w:val="20"/>
                <w:szCs w:val="20"/>
              </w:rPr>
            </w:pPr>
            <w:r w:rsidRPr="00373798">
              <w:rPr>
                <w:rFonts w:ascii="Aptos" w:hAnsi="Aptos" w:cs="Arial"/>
                <w:sz w:val="20"/>
                <w:szCs w:val="20"/>
              </w:rPr>
              <w:t>This picture, however, is an oversimplification. Sporadic records indicate that the distribution is more mosaic than the broad ranges imply. All three major TBEV subtypes</w:t>
            </w:r>
            <w:r w:rsidR="00C8456C" w:rsidRPr="00373798">
              <w:rPr>
                <w:rFonts w:ascii="Aptos" w:hAnsi="Aptos" w:cs="Arial"/>
                <w:sz w:val="20"/>
                <w:szCs w:val="20"/>
              </w:rPr>
              <w:t>,</w:t>
            </w:r>
            <w:r w:rsidRPr="00373798">
              <w:rPr>
                <w:rFonts w:ascii="Aptos" w:hAnsi="Aptos" w:cs="Arial"/>
                <w:sz w:val="20"/>
                <w:szCs w:val="20"/>
              </w:rPr>
              <w:t xml:space="preserve"> TBEV</w:t>
            </w:r>
            <w:r w:rsidRPr="00373798">
              <w:rPr>
                <w:rFonts w:ascii="Cambria Math" w:hAnsi="Cambria Math" w:cs="Cambria Math"/>
                <w:sz w:val="20"/>
                <w:szCs w:val="20"/>
              </w:rPr>
              <w:t>‑</w:t>
            </w:r>
            <w:r w:rsidRPr="00373798">
              <w:rPr>
                <w:rFonts w:ascii="Aptos" w:hAnsi="Aptos" w:cs="Arial"/>
                <w:sz w:val="20"/>
                <w:szCs w:val="20"/>
              </w:rPr>
              <w:t>Sib, TBEV</w:t>
            </w:r>
            <w:r w:rsidRPr="00373798">
              <w:rPr>
                <w:rFonts w:ascii="Cambria Math" w:hAnsi="Cambria Math" w:cs="Cambria Math"/>
                <w:sz w:val="20"/>
                <w:szCs w:val="20"/>
              </w:rPr>
              <w:t>‑</w:t>
            </w:r>
            <w:r w:rsidRPr="00373798">
              <w:rPr>
                <w:rFonts w:ascii="Aptos" w:hAnsi="Aptos" w:cs="Arial"/>
                <w:sz w:val="20"/>
                <w:szCs w:val="20"/>
              </w:rPr>
              <w:t>FE, and TBEV</w:t>
            </w:r>
            <w:r w:rsidRPr="00373798">
              <w:rPr>
                <w:rFonts w:ascii="Cambria Math" w:hAnsi="Cambria Math" w:cs="Cambria Math"/>
                <w:sz w:val="20"/>
                <w:szCs w:val="20"/>
              </w:rPr>
              <w:t>‑</w:t>
            </w:r>
            <w:r w:rsidRPr="00373798">
              <w:rPr>
                <w:rFonts w:ascii="Aptos" w:hAnsi="Aptos" w:cs="Arial"/>
                <w:sz w:val="20"/>
                <w:szCs w:val="20"/>
              </w:rPr>
              <w:t>Eur</w:t>
            </w:r>
            <w:r w:rsidR="00C8456C" w:rsidRPr="00373798">
              <w:rPr>
                <w:rFonts w:ascii="Aptos" w:hAnsi="Aptos" w:cs="Arial"/>
                <w:sz w:val="20"/>
                <w:szCs w:val="20"/>
              </w:rPr>
              <w:t xml:space="preserve">, </w:t>
            </w:r>
            <w:r w:rsidRPr="00373798">
              <w:rPr>
                <w:rFonts w:ascii="Aptos" w:hAnsi="Aptos" w:cs="Arial"/>
                <w:sz w:val="20"/>
                <w:szCs w:val="20"/>
              </w:rPr>
              <w:t xml:space="preserve">have been detected in </w:t>
            </w:r>
            <w:r w:rsidR="00C8456C" w:rsidRPr="00373798">
              <w:rPr>
                <w:rFonts w:ascii="Aptos" w:hAnsi="Aptos" w:cs="Arial"/>
                <w:sz w:val="20"/>
                <w:szCs w:val="20"/>
              </w:rPr>
              <w:t xml:space="preserve">Crimea </w:t>
            </w:r>
            <w:r w:rsidR="00C8456C"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{"citationItems":[{"id":"ITEM-1","itemData":{"DOI":"10.1089/vbz.2016.2094","ISSN":"1530-3667","PMID":"28654319","author":[{"dropping-particle":"","family":"Yurchenko","given":"Oksana O.","non-dropping-particle":"","parse-names":false,"suffix":""},{"dropping-particle":"","family":"Dubina","given":"Dmytro O.","non-dropping-particle":"","parse-names":false,"suffix":""},{"dropping-particle":"","family":"Vynograd","given":"Nataliya O.","non-dropping-particle":"","parse-names":false,"suffix":""},{"dropping-particle":"","family":"Gonzalez","given":"Jean-Paul","non-dropping-particle":"","parse-names":false,"suffix":""}],"container-title":"Vector-Borne and Zoonotic Diseases","id":"ITEM-1","issue":"8","issued":{"date-parts":[["2017","8"]]},"page":"550-557","publisher-place":"1 State Body \"I.I. Mechnikov Ukranian Anti-Plague Research Institute of the Ministry of Health of Ukraine ,\" Odessa, Ukraine . 2 Danylo Halytsky Lviv National Medical University , Lviv, Ukraine . 3 Health for Development , Paris, France . 4 Center of Exce","title":"Partial Characterization of Tick-Borne Encephalitis Virus Isolates from Ticks of Southern Ukraine","type":"article-journal","volume":"17"},"uris":["http://www.mendeley.com/documents/?uuid=71fab11a-649f-4d4d-8c07-90212cdaad54"]}],"mendeley":{"formattedCitation":"[21]","plainTextFormattedCitation":"[21]","previouslyFormattedCitation":"[21]"},"properties":{"noteIndex":0},"schema":"https://github.com/citation-style-language/schema/raw/master/csl-citation.json"}</w:instrText>
            </w:r>
            <w:r w:rsidR="00C8456C" w:rsidRPr="00373798">
              <w:rPr>
                <w:rFonts w:ascii="Aptos" w:hAnsi="Aptos" w:cs="Arial"/>
                <w:sz w:val="20"/>
                <w:szCs w:val="20"/>
              </w:rPr>
              <w:fldChar w:fldCharType="separate"/>
            </w:r>
            <w:r w:rsidR="00FE4AC7" w:rsidRPr="00373798">
              <w:rPr>
                <w:rFonts w:ascii="Aptos" w:hAnsi="Aptos" w:cs="Arial"/>
                <w:noProof/>
                <w:sz w:val="20"/>
                <w:szCs w:val="20"/>
              </w:rPr>
              <w:t>[21]</w:t>
            </w:r>
            <w:r w:rsidR="00C8456C" w:rsidRPr="00373798">
              <w:rPr>
                <w:rFonts w:ascii="Aptos" w:hAnsi="Aptos" w:cs="Arial"/>
                <w:sz w:val="20"/>
                <w:szCs w:val="20"/>
              </w:rPr>
              <w:fldChar w:fldCharType="end"/>
            </w:r>
            <w:r w:rsidR="00C8456C" w:rsidRPr="00373798">
              <w:rPr>
                <w:rFonts w:ascii="Aptos" w:hAnsi="Aptos" w:cs="Arial"/>
                <w:sz w:val="20"/>
                <w:szCs w:val="20"/>
              </w:rPr>
              <w:t xml:space="preserve">, </w:t>
            </w:r>
            <w:r w:rsidRPr="00373798">
              <w:rPr>
                <w:rFonts w:ascii="Aptos" w:hAnsi="Aptos" w:cs="Arial"/>
                <w:sz w:val="20"/>
                <w:szCs w:val="20"/>
              </w:rPr>
              <w:t>and TBEV</w:t>
            </w:r>
            <w:r w:rsidRPr="00373798">
              <w:rPr>
                <w:rFonts w:ascii="Cambria Math" w:hAnsi="Cambria Math" w:cs="Cambria Math"/>
                <w:sz w:val="20"/>
                <w:szCs w:val="20"/>
              </w:rPr>
              <w:t>‑</w:t>
            </w:r>
            <w:r w:rsidRPr="00373798">
              <w:rPr>
                <w:rFonts w:ascii="Aptos" w:hAnsi="Aptos" w:cs="Arial"/>
                <w:sz w:val="20"/>
                <w:szCs w:val="20"/>
              </w:rPr>
              <w:t xml:space="preserve">Eur has been identified in northern Africa </w:t>
            </w:r>
            <w:r w:rsidR="00A76F53"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j.ttbdis.2020.101606","ISSN":"1877959X","author":[{"dropping-particle":"","family":"Fares","given":"Wasfi","non-dropping-particle":"","parse-names":false,"suffix":""},{"dropping-particle":"","family":"Dachraoui","given":"Khalil","non-dropping-particle":"","parse-names":false,"suffix":""},{"dropping-particle":"","family":"Cherni","given":"Seifedine","non-dropping-particle":"","parse-names":false,"suffix":""},{"dropping-particle":"","family":"Barhoumi","given":"Walid","non-dropping-particle":"","parse-names":false,"suffix":""},{"dropping-particle":"Ben","family":"Slimane","given":"Talel","non-dropping-particle":"","parse-names":false,"suffix":""},{"dropping-particle":"","family":"Younsi","given":"Hend","non-dropping-particle":"","parse-names":false,"suffix":""},{"dropping-particle":"","family":"Zhioua","given":"Elyes","non-dropping-particle":"","parse-names":false,"suffix":""}],"container-title":"Ticks and Tick-borne Diseases","id":"ITEM-1","issue":"1","issued":{"date-parts":[["2021","1"]]},"page":"101606","title":"Tick-borne encephalitis virus in Ixodes ricinus (Acari: Ixodidae) ticks, Tunisia","type":"article-journal","volume":"12"},"uris":["http://www.mendeley.com/documents/?uuid=036a0ea8-60c6-4667-9037-f7a989b5eaf3"]}],"mendeley":{"formattedCitation":"[22]","plainTextFormattedCitation":"[22]","previouslyFormattedCitation":"[22]"},"properties":{"noteIndex":0},"schema":"https://github.com/citation-style-language/schema/raw/master/csl-citation.json"}</w:instrText>
            </w:r>
            <w:r w:rsidR="00A76F53" w:rsidRPr="00373798">
              <w:rPr>
                <w:rFonts w:ascii="Aptos" w:hAnsi="Aptos" w:cs="Arial"/>
                <w:sz w:val="20"/>
                <w:szCs w:val="20"/>
              </w:rPr>
              <w:fldChar w:fldCharType="separate"/>
            </w:r>
            <w:r w:rsidR="00FE4AC7" w:rsidRPr="00373798">
              <w:rPr>
                <w:rFonts w:ascii="Aptos" w:hAnsi="Aptos" w:cs="Arial"/>
                <w:noProof/>
                <w:sz w:val="20"/>
                <w:szCs w:val="20"/>
              </w:rPr>
              <w:t>[22]</w:t>
            </w:r>
            <w:r w:rsidR="00A76F53" w:rsidRPr="00373798">
              <w:rPr>
                <w:rFonts w:ascii="Aptos" w:hAnsi="Aptos" w:cs="Arial"/>
                <w:sz w:val="20"/>
                <w:szCs w:val="20"/>
              </w:rPr>
              <w:fldChar w:fldCharType="end"/>
            </w:r>
            <w:r w:rsidRPr="00373798">
              <w:rPr>
                <w:rFonts w:ascii="Aptos" w:hAnsi="Aptos" w:cs="Arial"/>
                <w:sz w:val="20"/>
                <w:szCs w:val="20"/>
              </w:rPr>
              <w:t xml:space="preserve"> and Korea </w:t>
            </w:r>
            <w:r w:rsidR="00A76F53"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{"citationItems":[{"id":"ITEM-1","itemData":{"DOI":"10.1016/j.phrp.2012.10.004","ISSN":"2210-9099 (Print) 2210-9099 (Linking)","author":[{"dropping-particle":"","family":"Yun","given":"S M","non-dropping-particle":"","parse-names":false,"suffix":""},{"dropping-particle":"","family":"Song","given":"B G","non-dropping-particle":"","parse-names":false,"suffix":""},{"dropping-particle":"","family":"Choi","given":"W","non-dropping-particle":"","parse-names":false,"suffix":""},{"dropping-particle":"","family":"Park","given":"W I","non-dropping-particle":"","parse-names":false,"suffix":""},{"dropping-particle":"","family":"Kim","given":"S Y","non-dropping-particle":"","parse-names":false,"suffix":""},{"dropping-particle":"","family":"Roh","given":"J Y","non-dropping-particle":"","parse-names":false,"suffix":""},{"dropping-particle":"","family":"Ryou","given":"J","non-dropping-particle":"","parse-names":false,"suffix":""},{"dropping-particle":"","family":"Ju","given":"Y R","non-dropping-particle":"","parse-names":false,"suffix":""},{"dropping-particle":"","family":"Park","given":"C","non-dropping-particle":"","parse-names":false,"suffix":""},{"dropping-particle":"","family":"Shin","given":"E H","non-dropping-particle":"","parse-names":false,"suffix":""}],"container-title":"Osong Public Health Res Perspect","id":"ITEM-1","issue":"4","issued":{"date-parts":[["2012"]]},"page":"213-221","publisher-place":"Division of Arboviruses, Korea National Institute of Health, Osong, Korea.","title":"Prevalence of tick-borne encephalitis virus in ixodid ticks collected from the republic of Korea during 2011-2012","type":"article-journal","volume":"3"},"uris":["http://www.mendeley.com/documents/?uuid=544bcae3-8711-4190-aaa8-70b641aaad7f"]}],"mendeley":{"formattedCitation":"[23]","plainTextFormattedCitation":"[23]","previouslyFormattedCitation":"[23]"},"properties":{"noteIndex":0},"schema":"https://github.com/citation-style-language/schema/raw/master/csl-citation.json"}</w:instrText>
            </w:r>
            <w:r w:rsidR="00A76F53" w:rsidRPr="00373798">
              <w:rPr>
                <w:rFonts w:ascii="Aptos" w:hAnsi="Aptos" w:cs="Arial"/>
                <w:sz w:val="20"/>
                <w:szCs w:val="20"/>
              </w:rPr>
              <w:fldChar w:fldCharType="separate"/>
            </w:r>
            <w:r w:rsidR="00FE4AC7" w:rsidRPr="00373798">
              <w:rPr>
                <w:rFonts w:ascii="Aptos" w:hAnsi="Aptos" w:cs="Arial"/>
                <w:noProof/>
                <w:sz w:val="20"/>
                <w:szCs w:val="20"/>
              </w:rPr>
              <w:t>[23]</w:t>
            </w:r>
            <w:r w:rsidR="00A76F53" w:rsidRPr="00373798">
              <w:rPr>
                <w:rFonts w:ascii="Aptos" w:hAnsi="Aptos" w:cs="Arial"/>
                <w:sz w:val="20"/>
                <w:szCs w:val="20"/>
              </w:rPr>
              <w:fldChar w:fldCharType="end"/>
            </w:r>
            <w:r w:rsidRPr="00373798">
              <w:rPr>
                <w:rFonts w:ascii="Aptos" w:hAnsi="Aptos" w:cs="Arial"/>
                <w:sz w:val="20"/>
                <w:szCs w:val="20"/>
              </w:rPr>
              <w:t xml:space="preserve">, well beyond its previously </w:t>
            </w:r>
            <w:r w:rsidR="00411930" w:rsidRPr="00373798">
              <w:rPr>
                <w:rFonts w:ascii="Aptos" w:hAnsi="Aptos" w:cs="Arial"/>
                <w:sz w:val="20"/>
                <w:szCs w:val="20"/>
              </w:rPr>
              <w:t>recognized</w:t>
            </w:r>
            <w:r w:rsidRPr="00373798">
              <w:rPr>
                <w:rFonts w:ascii="Aptos" w:hAnsi="Aptos" w:cs="Arial"/>
                <w:sz w:val="20"/>
                <w:szCs w:val="20"/>
              </w:rPr>
              <w:t xml:space="preserve"> European range. Moreover, the European subtype has been found in Siberia</w:t>
            </w:r>
            <w:r w:rsidR="00A76F53" w:rsidRPr="00373798">
              <w:rPr>
                <w:rFonts w:ascii="Aptos" w:hAnsi="Aptos" w:cs="Arial"/>
                <w:sz w:val="20"/>
                <w:szCs w:val="20"/>
              </w:rPr>
              <w:t xml:space="preserve"> </w:t>
            </w:r>
            <w:r w:rsidR="00A76F53"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j.ttbdis.2017.03.002","ISSN":"1877959X","author":[{"dropping-particle":"","family":"Demina","given":"T.V.","non-dropping-particle":"","parse-names":false,"suffix":""},{"dropping-particle":"","family":"Tkachev","given":"S.E.","non-dropping-particle":"","parse-names":false,"suffix":""},{"dropping-particle":"","family":"Kozlova","given":"I.V.","non-dropping-particle":"","parse-names":false,"suffix":""},{"dropping-particle":"","family":"Doroshchenko","given":"E.K.","non-dropping-particle":"","parse-names":false,"suffix":""},{"dropping-particle":"","family":"Lisak","given":"O.V.","non-dropping-particle":"","parse-names":false,"suffix":""},{"dropping-particle":"","family":"Suntsova","given":"O.V.","non-dropping-particle":"","parse-names":false,"suffix":""},{"dropping-particle":"","family":"Verkhozina","given":"M.M.","non-dropping-particle":"","parse-names":false,"suffix":""},{"dropping-particle":"","family":"Dzhioev","given":"Yu. P.","non-dropping-particle":"","parse-names":false,"suffix":""},{"dropping-particle":"","family":"Paramonov","given":"A.I.","non-dropping-particle":"","parse-names":false,"suffix":""},{"dropping-particle":"","family":"Tikunov","given":"A.Y.","non-dropping-particle":"","parse-names":false,"suffix":""},{"dropping-particle":"","family":"Tikunova","given":"N.V.","non-dropping-particle":"","parse-names":false,"suffix":""},{"dropping-particle":"","family":"Zlobin","given":"V.I.","non-dropping-particle":"","parse-names":false,"suffix":""},{"dropping-particle":"","family":"Ruzek","given":"D.","non-dropping-particle":"","parse-names":false,"suffix":""}],"container-title":"Ticks and Tick-borne Diseases","id":"ITEM-1","issue":"4","issued":{"date-parts":[["2017","6"]]},"page":"547-553","title":"Comparative analysis of complete genome sequences of European subtype tick-borne encephalitis virus strains isolated from Ixodes persulcatus ticks, long-tailed ground squirrel ( Spermophilus undulatus ), and human blood in the Asian part of Russia","type":"article-journal","volume":"8"},"uris":["http://www.mendeley.com/documents/?uuid=0daae7e9-23f0-475a-8325-705605505793"]}],"mendeley":{"formattedCitation":"[24]","plainTextFormattedCitation":"[24]","previouslyFormattedCitation":"[24]"},"properties":{"noteIndex":0},"schema":"https://github.com/citation-style-language/schema/raw/master/csl-citation.json"}</w:instrText>
            </w:r>
            <w:r w:rsidR="00A76F53" w:rsidRPr="00373798">
              <w:rPr>
                <w:rFonts w:ascii="Aptos" w:hAnsi="Aptos" w:cs="Arial"/>
                <w:sz w:val="20"/>
                <w:szCs w:val="20"/>
              </w:rPr>
              <w:fldChar w:fldCharType="separate"/>
            </w:r>
            <w:r w:rsidR="00FE4AC7" w:rsidRPr="00373798">
              <w:rPr>
                <w:rFonts w:ascii="Aptos" w:hAnsi="Aptos" w:cs="Arial"/>
                <w:noProof/>
                <w:sz w:val="20"/>
                <w:szCs w:val="20"/>
              </w:rPr>
              <w:t>[24]</w:t>
            </w:r>
            <w:r w:rsidR="00A76F53" w:rsidRPr="00373798">
              <w:rPr>
                <w:rFonts w:ascii="Aptos" w:hAnsi="Aptos" w:cs="Arial"/>
                <w:sz w:val="20"/>
                <w:szCs w:val="20"/>
              </w:rPr>
              <w:fldChar w:fldCharType="end"/>
            </w:r>
            <w:r w:rsidRPr="00373798">
              <w:rPr>
                <w:rFonts w:ascii="Aptos" w:hAnsi="Aptos" w:cs="Arial"/>
                <w:sz w:val="20"/>
                <w:szCs w:val="20"/>
              </w:rPr>
              <w:t xml:space="preserve">, while the Far Eastern subtype has been reported in the European part of Russia </w:t>
            </w:r>
            <w:r w:rsidR="00A76F53"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{"citationItems":[{"id":"ITEM-1","itemData":{"ISSN":"0031-1847","PMID":"25272463","abstract":"The genetic diversity of the tick-borne encephalitis virus (TBEV) in the PCR-positive Taiga ticks collected in the Republic of Komi in 2010 was evaluated. The analyses of nucleotide sequences of the 5'-NCR fragments of viral genome from ticks had shown that 13 isolates of TBEV from 16 sequencing variants were represented by the highly pathogenic Far Eastern genotype of the TBEV and only 3 isolates were identified as the Siberian genotype of TBEV. The nucleotide sequences of 5'-NCR of viral genome strongly varied variable in individual ticks. Variability for the A1 element has been observed in all the tested samples, and for elements C1, B2, CS B--in more than 50%. A2 element and ATG codon of the 5'-NCR remained completely conservative. Computer simulation of conformations of the 5'-NCR of TBEV genome demonstrated the possibility of significant changes of the spatial structure of the 5'-NCR of viral genome in individual taiga ticks. The obtained data confirm the hypothesis that the variability in the 5'-NCR of TBEV genome can be crucial for efficient replication of TBEV in different hosts.","author":[{"dropping-particle":"","family":"Mikriukova","given":"T P","non-dropping-particle":"","parse-names":false,"suffix":""},{"dropping-particle":"V","family":"Chausov","given":"E","non-dropping-particle":"","parse-names":false,"suffix":""},{"dropping-particle":"","family":"Konovalova","given":"S N","non-dropping-particle":"","parse-names":false,"suffix":""},{"dropping-particle":"V","family":"Kononova","given":"Iu","non-dropping-particle":"","parse-names":false,"suffix":""},{"dropping-particle":"V","family":"Protopopova","given":"E","non-dropping-particle":"","parse-names":false,"suffix":""},{"dropping-particle":"","family":"Kartashov","given":"M Iu","non-dropping-particle":"","parse-names":false,"suffix":""},{"dropping-particle":"","family":"Trnovoĭ","given":"V A","non-dropping-particle":"","parse-names":false,"suffix":""},{"dropping-particle":"","family":"Glushkova","given":"L I","non-dropping-particle":"","parse-names":false,"suffix":""},{"dropping-particle":"V","family":"Korabel'nikov","given":"I","non-dropping-particle":"","parse-names":false,"suffix":""},{"dropping-particle":"","family":"Egorova","given":"I Iu","non-dropping-particle":"","parse-names":false,"suffix":""},{"dropping-particle":"","family":"Loktev","given":"V B","non-dropping-particle":"","parse-names":false,"suffix":""}],"container-title":"Parazitologiia","id":"ITEM-1","issue":"2","issued":{"date-parts":[["2014"]]},"page":"131-49","title":"[Genetic diversity of the tick-borne encephalitis virus in Ixodes persulcatus ticks in northeastern European Russia].","type":"article-journal","volume":"48"},"uris":["http://www.mendeley.com/documents/?uuid=f605b9b3-b27f-4b6e-a68d-ce972fa2dad9"]}],"mendeley":{"formattedCitation":"[25]","plainTextFormattedCitation":"[25]","previouslyFormattedCitation":"[25]"},"properties":{"noteIndex":0},"schema":"https://github.com/citation-style-language/schema/raw/master/csl-citation.json"}</w:instrText>
            </w:r>
            <w:r w:rsidR="00A76F53" w:rsidRPr="00373798">
              <w:rPr>
                <w:rFonts w:ascii="Aptos" w:hAnsi="Aptos" w:cs="Arial"/>
                <w:sz w:val="20"/>
                <w:szCs w:val="20"/>
              </w:rPr>
              <w:fldChar w:fldCharType="separate"/>
            </w:r>
            <w:r w:rsidR="00FE4AC7" w:rsidRPr="00373798">
              <w:rPr>
                <w:rFonts w:ascii="Aptos" w:hAnsi="Aptos" w:cs="Arial"/>
                <w:noProof/>
                <w:sz w:val="20"/>
                <w:szCs w:val="20"/>
              </w:rPr>
              <w:t>[25]</w:t>
            </w:r>
            <w:r w:rsidR="00A76F53" w:rsidRPr="00373798">
              <w:rPr>
                <w:rFonts w:ascii="Aptos" w:hAnsi="Aptos" w:cs="Arial"/>
                <w:sz w:val="20"/>
                <w:szCs w:val="20"/>
              </w:rPr>
              <w:fldChar w:fldCharType="end"/>
            </w:r>
            <w:r w:rsidR="00C8456C" w:rsidRPr="00373798">
              <w:rPr>
                <w:rFonts w:ascii="Aptos" w:hAnsi="Aptos" w:cs="Arial"/>
                <w:sz w:val="20"/>
                <w:szCs w:val="20"/>
              </w:rPr>
              <w:t xml:space="preserve"> and Moldova</w:t>
            </w:r>
            <w:r w:rsidR="00A76F53" w:rsidRPr="00373798">
              <w:rPr>
                <w:rFonts w:ascii="Aptos" w:hAnsi="Aptos" w:cs="Arial"/>
                <w:sz w:val="20"/>
                <w:szCs w:val="20"/>
              </w:rPr>
              <w:t xml:space="preserve"> </w:t>
            </w:r>
            <w:r w:rsidR="00A76F53"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{"citationItems":[{"id":"ITEM-1","itemData":{"ISSN":"0972-9062","PMID":"26714515","author":[{"dropping-particle":"","family":"Ponomareva","given":"Eugenia P.","non-dropping-particle":"","parse-names":false,"suffix":""},{"dropping-particle":"","family":"Mikryukova","given":"Tamara P.","non-dropping-particle":"","parse-names":false,"suffix":""},{"dropping-particle":"V.","family":"Gori","given":"Ala","non-dropping-particle":"","parse-names":false,"suffix":""},{"dropping-particle":"","family":"Kartashov","given":"Michael Y.","non-dropping-particle":"","parse-names":false,"suffix":""},{"dropping-particle":"V.","family":"Protopopova","given":"Elena","non-dropping-particle":"","parse-names":false,"suffix":""},{"dropping-particle":"V.","family":"Chausov","given":"Eugene","non-dropping-particle":"","parse-names":false,"suffix":""},{"dropping-particle":"","family":"Konovalova","given":"Svetlana N.","non-dropping-particle":"","parse-names":false,"suffix":""},{"dropping-particle":"","family":"Tupota","given":"Natalia L.","non-dropping-particle":"","parse-names":false,"suffix":""},{"dropping-particle":"","family":"Gheorghita","given":"Stela D.","non-dropping-particle":"","parse-names":false,"suffix":""},{"dropping-particle":"","family":"Burlacu","given":"Victoria I.","non-dropping-particle":"","parse-names":false,"suffix":""},{"dropping-particle":"","family":"Ternovoi","given":"Vladimir A.","non-dropping-particle":"","parse-names":false,"suffix":""},{"dropping-particle":"","family":"Loktev","given":"Valery B.","non-dropping-particle":"","parse-names":false,"suffix":""}],"container-title":"Journal of vector borne diseases","id":"ITEM-1","issue":"4","issued":{"date-parts":[["2015","12"]]},"page":"334-6","publisher-place":"State Research Center of Virology and Biotechnology \"Vector\", Department of Molecular Virology for Flaviviruses and Viral Hepatitis, Koltsovo, Novosibirsk Region; Tomsk State University, Tomsk; Novosibirsk State University, Novosibirsk; Institute of Cytol","title":"Detection of Far-Eastern subtype of tick-borne encephalitis viral RNA in ticks collected in the Republic of Moldova.","type":"article-journal","volume":"52"},"uris":["http://www.mendeley.com/documents/?uuid=4c7afeaf-7842-4513-b2b1-c2f4420d387d"]}],"mendeley":{"formattedCitation":"[26]","plainTextFormattedCitation":"[26]","previouslyFormattedCitation":"[26]"},"properties":{"noteIndex":0},"schema":"https://github.com/citation-style-language/schema/raw/master/csl-citation.json"}</w:instrText>
            </w:r>
            <w:r w:rsidR="00A76F53" w:rsidRPr="00373798">
              <w:rPr>
                <w:rFonts w:ascii="Aptos" w:hAnsi="Aptos" w:cs="Arial"/>
                <w:sz w:val="20"/>
                <w:szCs w:val="20"/>
              </w:rPr>
              <w:fldChar w:fldCharType="separate"/>
            </w:r>
            <w:r w:rsidR="00FE4AC7" w:rsidRPr="00373798">
              <w:rPr>
                <w:rFonts w:ascii="Aptos" w:hAnsi="Aptos" w:cs="Arial"/>
                <w:noProof/>
                <w:sz w:val="20"/>
                <w:szCs w:val="20"/>
              </w:rPr>
              <w:t>[26]</w:t>
            </w:r>
            <w:r w:rsidR="00A76F53" w:rsidRPr="00373798">
              <w:rPr>
                <w:rFonts w:ascii="Aptos" w:hAnsi="Aptos" w:cs="Arial"/>
                <w:sz w:val="20"/>
                <w:szCs w:val="20"/>
              </w:rPr>
              <w:fldChar w:fldCharType="end"/>
            </w:r>
            <w:r w:rsidRPr="00373798">
              <w:rPr>
                <w:rFonts w:ascii="Aptos" w:hAnsi="Aptos" w:cs="Arial"/>
                <w:sz w:val="20"/>
                <w:szCs w:val="20"/>
              </w:rPr>
              <w:t>.</w:t>
            </w:r>
          </w:p>
          <w:p w14:paraId="3A8992E2" w14:textId="05F1FB8C" w:rsidR="008C5EFE" w:rsidRPr="00373798" w:rsidRDefault="00342DAF" w:rsidP="00342DAF">
            <w:pPr>
              <w:rPr>
                <w:rFonts w:ascii="Aptos" w:hAnsi="Aptos" w:cs="Arial"/>
                <w:sz w:val="20"/>
                <w:szCs w:val="20"/>
              </w:rPr>
            </w:pPr>
            <w:r w:rsidRPr="00373798">
              <w:rPr>
                <w:rFonts w:ascii="Aptos" w:hAnsi="Aptos" w:cs="Arial"/>
                <w:sz w:val="20"/>
                <w:szCs w:val="20"/>
              </w:rPr>
              <w:t>Geographic isolation can facilitate diver</w:t>
            </w:r>
            <w:r w:rsidR="00411930">
              <w:rPr>
                <w:rFonts w:ascii="Aptos" w:hAnsi="Aptos" w:cs="Arial"/>
                <w:sz w:val="20"/>
                <w:szCs w:val="20"/>
              </w:rPr>
              <w:t>sification</w:t>
            </w:r>
            <w:r w:rsidRPr="00373798">
              <w:rPr>
                <w:rFonts w:ascii="Aptos" w:hAnsi="Aptos" w:cs="Arial"/>
                <w:sz w:val="20"/>
                <w:szCs w:val="20"/>
              </w:rPr>
              <w:t>, but it is not, by itself, accepted as a sufficient condition for new species</w:t>
            </w:r>
            <w:r w:rsidR="00A76F53" w:rsidRPr="00373798">
              <w:rPr>
                <w:rFonts w:ascii="Aptos" w:hAnsi="Aptos" w:cs="Arial"/>
                <w:sz w:val="20"/>
                <w:szCs w:val="20"/>
              </w:rPr>
              <w:t xml:space="preserve"> definition</w:t>
            </w:r>
            <w:r w:rsidRPr="00373798">
              <w:rPr>
                <w:rFonts w:ascii="Aptos" w:hAnsi="Aptos" w:cs="Arial"/>
                <w:sz w:val="20"/>
                <w:szCs w:val="20"/>
              </w:rPr>
              <w:t>. Many established orthoflavivirus species span continents and contain multiple geographically structured lineages without prompting taxonomic subdivision. The same principle applies to other zoonotic viruses. For example, rabies virus and Crimean</w:t>
            </w:r>
            <w:r w:rsidRPr="00373798">
              <w:rPr>
                <w:rFonts w:ascii="Cambria Math" w:hAnsi="Cambria Math" w:cs="Cambria Math"/>
                <w:sz w:val="20"/>
                <w:szCs w:val="20"/>
              </w:rPr>
              <w:t>‑</w:t>
            </w:r>
            <w:r w:rsidRPr="00373798">
              <w:rPr>
                <w:rFonts w:ascii="Aptos" w:hAnsi="Aptos" w:cs="Arial"/>
                <w:sz w:val="20"/>
                <w:szCs w:val="20"/>
              </w:rPr>
              <w:t xml:space="preserve">Congo hemorrhagic fever virus both </w:t>
            </w:r>
            <w:proofErr w:type="gramStart"/>
            <w:r w:rsidR="009F7221" w:rsidRPr="00373798">
              <w:rPr>
                <w:rFonts w:ascii="Aptos" w:hAnsi="Aptos" w:cs="Arial"/>
                <w:sz w:val="20"/>
                <w:szCs w:val="20"/>
              </w:rPr>
              <w:t>exhibit</w:t>
            </w:r>
            <w:proofErr w:type="gramEnd"/>
            <w:r w:rsidRPr="00373798">
              <w:rPr>
                <w:rFonts w:ascii="Aptos" w:hAnsi="Aptos" w:cs="Arial"/>
                <w:sz w:val="20"/>
                <w:szCs w:val="20"/>
              </w:rPr>
              <w:t xml:space="preserve"> pronounced phylogeographic structure, yet neither has been partitioned into multiple species on geographic grounds. The spatial structuring observed in the TBEV complex is consistent with the proposed classification, but it does not independently support species</w:t>
            </w:r>
            <w:r w:rsidRPr="00373798">
              <w:rPr>
                <w:rFonts w:ascii="Cambria Math" w:hAnsi="Cambria Math" w:cs="Cambria Math"/>
                <w:sz w:val="20"/>
                <w:szCs w:val="20"/>
              </w:rPr>
              <w:t>‑</w:t>
            </w:r>
            <w:r w:rsidRPr="00373798">
              <w:rPr>
                <w:rFonts w:ascii="Aptos" w:hAnsi="Aptos" w:cs="Arial"/>
                <w:sz w:val="20"/>
                <w:szCs w:val="20"/>
              </w:rPr>
              <w:t>level status.</w:t>
            </w:r>
          </w:p>
          <w:p w14:paraId="096AF1D1" w14:textId="77777777" w:rsidR="00A76F53" w:rsidRPr="00373798" w:rsidRDefault="00A76F53" w:rsidP="00342DAF">
            <w:pPr>
              <w:rPr>
                <w:rFonts w:ascii="Aptos" w:hAnsi="Aptos" w:cs="Arial"/>
                <w:sz w:val="20"/>
                <w:szCs w:val="20"/>
              </w:rPr>
            </w:pPr>
          </w:p>
          <w:p w14:paraId="37F0040F" w14:textId="0DD87CF5" w:rsidR="00A76F53" w:rsidRPr="00373798" w:rsidRDefault="008C5EFE" w:rsidP="008C5EFE">
            <w:pPr>
              <w:rPr>
                <w:rFonts w:ascii="Aptos" w:hAnsi="Aptos" w:cs="Arial"/>
                <w:sz w:val="20"/>
                <w:szCs w:val="20"/>
                <w:u w:val="single"/>
              </w:rPr>
            </w:pPr>
            <w:r w:rsidRPr="00373798">
              <w:rPr>
                <w:rFonts w:ascii="Aptos" w:hAnsi="Aptos" w:cs="Arial"/>
                <w:sz w:val="20"/>
                <w:szCs w:val="20"/>
                <w:u w:val="single"/>
              </w:rPr>
              <w:t>2.</w:t>
            </w:r>
            <w:r w:rsidR="00A76F53" w:rsidRPr="00373798">
              <w:rPr>
                <w:rFonts w:ascii="Aptos" w:hAnsi="Aptos" w:cs="Arial"/>
                <w:sz w:val="20"/>
                <w:szCs w:val="20"/>
                <w:u w:val="single"/>
              </w:rPr>
              <w:t>5</w:t>
            </w:r>
            <w:r w:rsidRPr="00373798">
              <w:rPr>
                <w:rFonts w:ascii="Aptos" w:hAnsi="Aptos" w:cs="Arial"/>
                <w:sz w:val="20"/>
                <w:szCs w:val="20"/>
                <w:u w:val="single"/>
              </w:rPr>
              <w:t xml:space="preserve"> </w:t>
            </w:r>
            <w:r w:rsidR="00A76F53" w:rsidRPr="00373798">
              <w:rPr>
                <w:rFonts w:ascii="Aptos" w:hAnsi="Aptos" w:cs="Arial"/>
                <w:sz w:val="20"/>
                <w:szCs w:val="20"/>
                <w:u w:val="single"/>
              </w:rPr>
              <w:t>Vector and host association</w:t>
            </w:r>
          </w:p>
          <w:p w14:paraId="5DDF1AB5" w14:textId="50D2F418" w:rsidR="008C5EFE" w:rsidRPr="00373798" w:rsidRDefault="00A76F53" w:rsidP="00C634F8">
            <w:pPr>
              <w:rPr>
                <w:rFonts w:ascii="Aptos" w:hAnsi="Aptos" w:cs="Arial"/>
                <w:sz w:val="20"/>
                <w:szCs w:val="20"/>
              </w:rPr>
            </w:pPr>
            <w:r w:rsidRPr="00373798">
              <w:rPr>
                <w:rFonts w:ascii="Aptos" w:hAnsi="Aptos" w:cs="Arial"/>
                <w:sz w:val="20"/>
                <w:szCs w:val="20"/>
              </w:rPr>
              <w:t xml:space="preserve">TBEV-FE and TBEV-Sib are predominantly transmitted by </w:t>
            </w:r>
            <w:r w:rsidRPr="009F7221">
              <w:rPr>
                <w:rFonts w:ascii="Aptos" w:hAnsi="Aptos" w:cs="Arial"/>
                <w:i/>
                <w:iCs/>
                <w:sz w:val="20"/>
                <w:szCs w:val="20"/>
              </w:rPr>
              <w:t xml:space="preserve">Ixodes </w:t>
            </w:r>
            <w:proofErr w:type="spellStart"/>
            <w:r w:rsidRPr="009F7221">
              <w:rPr>
                <w:rFonts w:ascii="Aptos" w:hAnsi="Aptos" w:cs="Arial"/>
                <w:i/>
                <w:iCs/>
                <w:sz w:val="20"/>
                <w:szCs w:val="20"/>
              </w:rPr>
              <w:t>persulcatus</w:t>
            </w:r>
            <w:proofErr w:type="spellEnd"/>
            <w:r w:rsidRPr="00373798">
              <w:rPr>
                <w:rFonts w:ascii="Aptos" w:hAnsi="Aptos" w:cs="Arial"/>
                <w:sz w:val="20"/>
                <w:szCs w:val="20"/>
              </w:rPr>
              <w:t xml:space="preserve">, whereas TBEV-Eur is transmitted by </w:t>
            </w:r>
            <w:r w:rsidRPr="009F7221">
              <w:rPr>
                <w:rFonts w:ascii="Aptos" w:hAnsi="Aptos" w:cs="Arial"/>
                <w:i/>
                <w:iCs/>
                <w:sz w:val="20"/>
                <w:szCs w:val="20"/>
              </w:rPr>
              <w:t xml:space="preserve">I. </w:t>
            </w:r>
            <w:proofErr w:type="spellStart"/>
            <w:r w:rsidRPr="009F7221">
              <w:rPr>
                <w:rFonts w:ascii="Aptos" w:hAnsi="Aptos" w:cs="Arial"/>
                <w:i/>
                <w:iCs/>
                <w:sz w:val="20"/>
                <w:szCs w:val="20"/>
              </w:rPr>
              <w:t>ricinus</w:t>
            </w:r>
            <w:proofErr w:type="spellEnd"/>
            <w:r w:rsidRPr="00373798">
              <w:rPr>
                <w:rFonts w:ascii="Aptos" w:hAnsi="Aptos" w:cs="Arial"/>
                <w:sz w:val="20"/>
                <w:szCs w:val="20"/>
              </w:rPr>
              <w:t xml:space="preserve">. LIV is also vectored by </w:t>
            </w:r>
            <w:r w:rsidRPr="009F7221">
              <w:rPr>
                <w:rFonts w:ascii="Aptos" w:hAnsi="Aptos" w:cs="Arial"/>
                <w:i/>
                <w:iCs/>
                <w:sz w:val="20"/>
                <w:szCs w:val="20"/>
              </w:rPr>
              <w:t xml:space="preserve">I. </w:t>
            </w:r>
            <w:proofErr w:type="spellStart"/>
            <w:r w:rsidRPr="009F7221">
              <w:rPr>
                <w:rFonts w:ascii="Aptos" w:hAnsi="Aptos" w:cs="Arial"/>
                <w:i/>
                <w:iCs/>
                <w:sz w:val="20"/>
                <w:szCs w:val="20"/>
              </w:rPr>
              <w:t>ricinus</w:t>
            </w:r>
            <w:proofErr w:type="spellEnd"/>
            <w:r w:rsidRPr="00373798">
              <w:rPr>
                <w:rFonts w:ascii="Aptos" w:hAnsi="Aptos" w:cs="Arial"/>
                <w:sz w:val="20"/>
                <w:szCs w:val="20"/>
              </w:rPr>
              <w:t xml:space="preserve"> but relies on sheep and red grouse as amplification hosts</w:t>
            </w:r>
            <w:r w:rsidR="00F3300F" w:rsidRPr="00373798">
              <w:rPr>
                <w:rFonts w:ascii="Aptos" w:hAnsi="Aptos" w:cs="Arial"/>
                <w:sz w:val="20"/>
                <w:szCs w:val="20"/>
              </w:rPr>
              <w:t xml:space="preserve"> </w:t>
            </w:r>
            <w:r w:rsidR="00F3300F"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{"citationItems":[{"id":"ITEM-1","itemData":{"DOI":"10.1016/j.jcpa.2018.09.004","ISSN":"00219975","PMID":"30502792","abstract":"Louping-ill (LI), caused by louping-ill virus (LIV), results in a frequently fatal encephalitis primarily affecting sheep and red grouse (Lagopus lagopus scotica), but it does occur in other species. An adult male Border collie dog was definitively diagnosed with fatal LI and the lesion profile, LIV antigen distribution and full genome sequence of the LIV responsible were investigated to determine if this differed significantly from sheep-derived LIV. No gross lesions were present. The histological lesions were confined to the central nervous system and comprised of lymphocytic perivascular cuffs, glial foci, neuronal necrosis and neuronophagia. Immunolocalization of viral antigen showed small amounts present in neurons only. These histological and immunohistochemical findings were similar to those reported in affected sheep. Compared with published full genome sequences of sheep-derived LIV, only very minor differences were present and phylogenetically the virus clustered individually between a subclade containing Scottish strains, LIV 369/T2 and G and another subclade containing an English isolate LIV A. The LIV isolated from the dog shares a common progenitor with LIV A. These findings suggest there is no canine-specific LIV strain, dogs are susceptible to sheep-associated strains of LI and with the increase in tick prevalence, and therefore exposure to LIV, a safe, effective vaccine for dogs may be required.","author":[{"dropping-particle":"","family":"Dagleish","given":"M.P. P.","non-dropping-particle":"","parse-names":false,"suffix":""},{"dropping-particle":"","family":"Clark","given":"J.J. J.","non-dropping-particle":"","parse-names":false,"suffix":""},{"dropping-particle":"","family":"Robson","given":"C.","non-dropping-particle":"","parse-names":false,"suffix":""},{"dropping-particle":"","family":"Tucker","given":"M.","non-dropping-particle":"","parse-names":false,"suffix":""},{"dropping-particle":"","family":"Orton","given":"R.J. J.","non-dropping-particle":"","parse-names":false,"suffix":""},{"dropping-particle":"","family":"Rocchi","given":"M.S. S.","non-dropping-particle":"","parse-names":false,"suffix":""}],"container-title":"Journal of Comparative Pathology","id":"ITEM-1","issued":{"date-parts":[["2018","11"]]},"page":"23-32","publisher":"Elsevier Ltd","title":"A Fatal Case of Louping-ill in a Dog: Immunolocalization and Full Genome Sequencing of the Virus","type":"article-journal","volume":"165"},"uris":["http://www.mendeley.com/documents/?uuid=2ca93e11-a53a-47a1-b62c-f183f370cc84"]}],"mendeley":{"formattedCitation":"[20]","plainTextFormattedCitation":"[20]","previouslyFormattedCitation":"[20]"},"properties":{"noteIndex":0},"schema":"https://github.com/citation-style-language/schema/raw/master/csl-citation.json"}</w:instrText>
            </w:r>
            <w:r w:rsidR="00F3300F" w:rsidRPr="00373798">
              <w:rPr>
                <w:rFonts w:ascii="Aptos" w:hAnsi="Aptos" w:cs="Arial"/>
                <w:sz w:val="20"/>
                <w:szCs w:val="20"/>
              </w:rPr>
              <w:fldChar w:fldCharType="separate"/>
            </w:r>
            <w:r w:rsidR="00FE4AC7" w:rsidRPr="00373798">
              <w:rPr>
                <w:rFonts w:ascii="Aptos" w:hAnsi="Aptos" w:cs="Arial"/>
                <w:noProof/>
                <w:sz w:val="20"/>
                <w:szCs w:val="20"/>
              </w:rPr>
              <w:t>[20]</w:t>
            </w:r>
            <w:r w:rsidR="00F3300F" w:rsidRPr="00373798">
              <w:rPr>
                <w:rFonts w:ascii="Aptos" w:hAnsi="Aptos" w:cs="Arial"/>
                <w:sz w:val="20"/>
                <w:szCs w:val="20"/>
              </w:rPr>
              <w:fldChar w:fldCharType="end"/>
            </w:r>
            <w:r w:rsidRPr="00373798">
              <w:rPr>
                <w:rFonts w:ascii="Aptos" w:hAnsi="Aptos" w:cs="Arial"/>
                <w:sz w:val="20"/>
                <w:szCs w:val="20"/>
              </w:rPr>
              <w:t>, in contrast to the rodent</w:t>
            </w:r>
            <w:r w:rsidRPr="00373798">
              <w:rPr>
                <w:rFonts w:ascii="Cambria Math" w:hAnsi="Cambria Math" w:cs="Cambria Math"/>
                <w:sz w:val="20"/>
                <w:szCs w:val="20"/>
              </w:rPr>
              <w:t>‑</w:t>
            </w:r>
            <w:r w:rsidRPr="00373798">
              <w:rPr>
                <w:rFonts w:ascii="Aptos" w:hAnsi="Aptos" w:cs="Arial"/>
                <w:sz w:val="20"/>
                <w:szCs w:val="20"/>
              </w:rPr>
              <w:t>based transmission cycles of TBEV</w:t>
            </w:r>
            <w:r w:rsidR="00F3300F" w:rsidRPr="00373798">
              <w:rPr>
                <w:rFonts w:ascii="Aptos" w:hAnsi="Aptos" w:cs="Arial"/>
                <w:sz w:val="20"/>
                <w:szCs w:val="20"/>
              </w:rPr>
              <w:t xml:space="preserve"> </w:t>
            </w:r>
            <w:r w:rsidR="00F3300F"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{"citationItems":[{"id":"ITEM-1","itemData":{"DOI":"10.1089/vbz.2010.0236","ISSN":"1557-7759","PMID":"21548766","abstract":"INTRODUCTION Tick-borne encephalitis virus (TBEV) causes one of the most important flavivirus infections of the central nervous system, affecting humans in Europe and Asia. It is mainly transmitted by the bite of an infected tick and circulates among them and their vertebrate hosts. Until now, TBE risk analysis in Germany has been based on the incidence of human cases. Because of an increasing vaccination rate, this approach might be misleading, especially in regions of low virus circulation. METHOD To test the suitability of rodents as a surrogate marker for virus spread, laboratory-bred Microtus arvalis voles were experimentally infected with TBEV and analyzed over a period of 100 days by real-time (RT)-quantitative polymerase chain reaction. Further, the prevalence of TBEV in rodents trapped in Brandenburg, a rural federal state in northeastern Germany with autochthonous TBE cases, was determined and compared with that in rodents from German TBE risk areas as well as TBE nonrisk areas. RESULTS In experimentally infected M. arvalis voles, TBEV was detectable in different organs for at least 3 months and in blood for 1 month. Ten percent of all rodents investigated were positive for TBEV. However, in TBE risk areas, the infection rate was higher compared with that of areas with only single human cases or of nonrisk areas. TBEV was detected in six rodent species: Apodemus agrarius, Apodemus flavicollis, Apodemus sylvaticus, Microtus agrestis, Microtus arvalis, and Myodes glareolus. M. glareolus showed a high infection rate in all areas investigated. DISCUSSION AND CONCLUSION The infection experiments proved that TBEV can be reliably detected in infected M. arvalis voles. These voles developed a persistent TBE infection without clinical symptoms. Further, the study showed that rodents, especially M. glareolus, are promising sentinels particularly in areas of low TBEV circulation.","author":[{"dropping-particle":"","family":"Achazi","given":"Katharina","non-dropping-particle":"","parse-names":false,"suffix":""},{"dropping-particle":"","family":"Růžek","given":"Daniel","non-dropping-particle":"","parse-names":false,"suffix":""},{"dropping-particle":"","family":"Donoso-Mantke","given":"Oliver","non-dropping-particle":"","parse-names":false,"suffix":""},{"dropping-particle":"","family":"Schlegel","given":"Mathias","non-dropping-particle":"","parse-names":false,"suffix":""},{"dropping-particle":"","family":"Ali","given":"Hanan Sheikh","non-dropping-particle":"","parse-names":false,"suffix":""},{"dropping-particle":"","family":"Wenk","given":"Mathias","non-dropping-particle":"","parse-names":false,"suffix":""},{"dropping-particle":"","family":"Schmidt-Chanasit","given":"Jonas","non-dropping-particle":"","parse-names":false,"suffix":""},{"dropping-particle":"","family":"Ohlmeyer","given":"Lutz","non-dropping-particle":"","parse-names":false,"suffix":""},{"dropping-particle":"","family":"Rühe","given":"Ferdinand","non-dropping-particle":"","parse-names":false,"suffix":""},{"dropping-particle":"","family":"Vor","given":"Torsten","non-dropping-particle":"","parse-names":false,"suffix":""},{"dropping-particle":"","family":"Kiffner","given":"Christian","non-dropping-particle":"","parse-names":false,"suffix":""},{"dropping-particle":"","family":"Kallies","given":"René","non-dropping-particle":"","parse-names":false,"suffix":""},{"dropping-particle":"","family":"Ulrich","given":"Rainer G","non-dropping-particle":"","parse-names":false,"suffix":""},{"dropping-particle":"","family":"Niedrig","given":"Matthias","non-dropping-particle":"","parse-names":false,"suffix":""}],"container-title":"Vector borne and zoonotic diseases (Larchmont, N.Y.)","id":"ITEM-1","issue":"6","issued":{"date-parts":[["2011","6"]]},"page":"641-7","title":"Rodents as sentinels for the prevalence of tick-borne encephalitis virus.","type":"article-journal","volume":"11"},"uris":["http://www.mendeley.com/documents/?uuid=59856321-9e54-4034-9864-dccf5f5ce0ea"]}],"mendeley":{"formattedCitation":"[27]","plainTextFormattedCitation":"[27]","previouslyFormattedCitation":"[27]"},"properties":{"noteIndex":0},"schema":"https://github.com/citation-style-language/schema/raw/master/csl-citation.json"}</w:instrText>
            </w:r>
            <w:r w:rsidR="00F3300F" w:rsidRPr="00373798">
              <w:rPr>
                <w:rFonts w:ascii="Aptos" w:hAnsi="Aptos" w:cs="Arial"/>
                <w:sz w:val="20"/>
                <w:szCs w:val="20"/>
              </w:rPr>
              <w:fldChar w:fldCharType="separate"/>
            </w:r>
            <w:r w:rsidR="00FE4AC7" w:rsidRPr="00373798">
              <w:rPr>
                <w:rFonts w:ascii="Aptos" w:hAnsi="Aptos" w:cs="Arial"/>
                <w:noProof/>
                <w:sz w:val="20"/>
                <w:szCs w:val="20"/>
              </w:rPr>
              <w:t>[27]</w:t>
            </w:r>
            <w:r w:rsidR="00F3300F" w:rsidRPr="00373798">
              <w:rPr>
                <w:rFonts w:ascii="Aptos" w:hAnsi="Aptos" w:cs="Arial"/>
                <w:sz w:val="20"/>
                <w:szCs w:val="20"/>
              </w:rPr>
              <w:fldChar w:fldCharType="end"/>
            </w:r>
            <w:r w:rsidRPr="00373798">
              <w:rPr>
                <w:rFonts w:ascii="Aptos" w:hAnsi="Aptos" w:cs="Arial"/>
                <w:sz w:val="20"/>
                <w:szCs w:val="20"/>
              </w:rPr>
              <w:t>. However, vector and host associations among orthoflaviviruses are not always strictly species</w:t>
            </w:r>
            <w:r w:rsidRPr="00373798">
              <w:rPr>
                <w:rFonts w:ascii="Cambria Math" w:hAnsi="Cambria Math" w:cs="Cambria Math"/>
                <w:sz w:val="20"/>
                <w:szCs w:val="20"/>
              </w:rPr>
              <w:t>‑</w:t>
            </w:r>
            <w:r w:rsidRPr="00373798">
              <w:rPr>
                <w:rFonts w:ascii="Aptos" w:hAnsi="Aptos" w:cs="Arial"/>
                <w:sz w:val="20"/>
                <w:szCs w:val="20"/>
              </w:rPr>
              <w:t>specific. For example, TBEV has been isolated from Dermacentor spp.</w:t>
            </w:r>
            <w:r w:rsidR="00F3300F" w:rsidRPr="00373798">
              <w:rPr>
                <w:rFonts w:ascii="Aptos" w:hAnsi="Aptos" w:cs="Arial"/>
                <w:sz w:val="20"/>
                <w:szCs w:val="20"/>
              </w:rPr>
              <w:t xml:space="preserve"> </w:t>
            </w:r>
            <w:r w:rsidR="00F3300F"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{"citationItems":[{"id":"ITEM-1","itemData":{"DOI":"10.1186/s13071-019-3346-6","ISBN":"1307101933466","ISSN":"17563305","abstract":"Background: Tick-borne encephalitis (TBE) virus is transmitted to humans and animals through tick bites and is thought to circulate in very strictly defined natural environments called natural foci. The most common tick serving as a vector for the TBE virus in central Europe is Ixodes ricinus; it is rarely found in other tick species and in Dermacentor reticulatus it has, so far, only been reported in Poland. Methods: Between autumn 2016 and spring 2018 ticks were collected by the flagging method in a new TBE focus in the district of northern Saxony, Germany, outside the known risk areas as defined by the national Robert Koch Institute. Ticks were morphologically identified and tested in pools for the presence of TBE virus using a real-time RT-PCR. TBE virus from positive pools was isolated in A549 cells, and the E gene sequences were determined after conventional RT-PCR, followed by a phylogenetic comparison. Results: TBE virus was detected in 11 pools, 9 times in flagged adults D. reticulatus (n = 1534; MIR: 0.59%, CI: 0.29-11.3%) and only twice in I. ricinus nymphs (n = 349; MIR: 0.57%, CI: 0.02-2.2%). All other ticks, I. ricinus males (n = 33), females (n = 30) and larvae (n = 58), as well as 5 I. inopinatus (2 females, 3 males) and 14 Haemaphysalis concinna (3 females, 11 nymphs), tested negative for TBE virus. TBE virus was not detected in I. ricinus during the summer, when D. reticulatus is not active. Sequence comparison of the entire E gene of the isolated virus strains resembled each other with only 3 nucleotide differences. The most closely related viral sequences belong to TBE virus strains from Poland and Neustadt an der Waldnaab (county of Neustadt an der Waldnaab, Bavaria), approximately 200 km east and 200 km south-west of the new focus, respectively. Conclusions: TBE virus was found in northern Saxony, Germany, with similar MIRs in D. reticulatus and I. ricinus, indicating that D. reticulatus plays an equal role to I. ricinus in virus circulation when both tick species are sympatric.","author":[{"dropping-particle":"","family":"Chitimia-Dobler","given":"Lidia","non-dropping-particle":"","parse-names":false,"suffix":""},{"dropping-particle":"","family":"Lemhöfer","given":"Giulia","non-dropping-particle":"","parse-names":false,"suffix":""},{"dropping-particle":"","family":"Król","given":"Nina","non-dropping-particle":"","parse-names":false,"suffix":""},{"dropping-particle":"","family":"Bestehorn","given":"Malena","non-dropping-particle":"","parse-names":false,"suffix":""},{"dropping-particle":"","family":"Dobler","given":"Gerhard","non-dropping-particle":"","parse-names":false,"suffix":""},{"dropping-particle":"","family":"Pfeffer","given":"Martin","non-dropping-particle":"","parse-names":false,"suffix":""}],"container-title":"Parasites and Vectors","id":"ITEM-1","issue":"1","issued":{"date-parts":[["2019"]]},"page":"1-8","publisher":"BioMed Central","title":"Repeated isolation of tick-borne encephalitis virus from adult Dermacentor reticulatus ticks in an endemic area in Germany","type":"article-journal","volume":"12"},"uris":["http://www.mendeley.com/documents/?uuid=7eea5aea-d36d-4d2c-9491-69854e7a37a4"]}],"mendeley":{"formattedCitation":"[28]","plainTextFormattedCitation":"[28]","previouslyFormattedCitation":"[28]"},"properties":{"noteIndex":0},"schema":"https://github.com/citation-style-language/schema/raw/master/csl-citation.json"}</w:instrText>
            </w:r>
            <w:r w:rsidR="00F3300F" w:rsidRPr="00373798">
              <w:rPr>
                <w:rFonts w:ascii="Aptos" w:hAnsi="Aptos" w:cs="Arial"/>
                <w:sz w:val="20"/>
                <w:szCs w:val="20"/>
              </w:rPr>
              <w:fldChar w:fldCharType="separate"/>
            </w:r>
            <w:r w:rsidR="00FE4AC7" w:rsidRPr="00373798">
              <w:rPr>
                <w:rFonts w:ascii="Aptos" w:hAnsi="Aptos" w:cs="Arial"/>
                <w:noProof/>
                <w:sz w:val="20"/>
                <w:szCs w:val="20"/>
              </w:rPr>
              <w:t>[28]</w:t>
            </w:r>
            <w:r w:rsidR="00F3300F" w:rsidRPr="00373798">
              <w:rPr>
                <w:rFonts w:ascii="Aptos" w:hAnsi="Aptos" w:cs="Arial"/>
                <w:sz w:val="20"/>
                <w:szCs w:val="20"/>
              </w:rPr>
              <w:fldChar w:fldCharType="end"/>
            </w:r>
            <w:r w:rsidRPr="00373798">
              <w:rPr>
                <w:rFonts w:ascii="Aptos" w:hAnsi="Aptos" w:cs="Arial"/>
                <w:sz w:val="20"/>
                <w:szCs w:val="20"/>
              </w:rPr>
              <w:t xml:space="preserve">, and OHFV from Ixodes spp. </w:t>
            </w:r>
            <w:r w:rsidR="00F3300F" w:rsidRPr="00373798">
              <w:rPr>
                <w:rFonts w:ascii="Aptos" w:hAnsi="Aptos" w:cs="Arial"/>
                <w:sz w:val="20"/>
                <w:szCs w:val="20"/>
              </w:rPr>
              <w:t>(e.g. OQ908946 and OR792466)</w:t>
            </w:r>
            <w:r w:rsidRPr="00373798">
              <w:rPr>
                <w:rFonts w:ascii="Aptos" w:hAnsi="Aptos" w:cs="Arial"/>
                <w:sz w:val="20"/>
                <w:szCs w:val="20"/>
              </w:rPr>
              <w:t xml:space="preserve">. Moreover, several established orthoflavivirus species </w:t>
            </w:r>
            <w:proofErr w:type="spellStart"/>
            <w:r w:rsidRPr="00373798">
              <w:rPr>
                <w:rFonts w:ascii="Aptos" w:hAnsi="Aptos" w:cs="Arial"/>
                <w:sz w:val="20"/>
                <w:szCs w:val="20"/>
              </w:rPr>
              <w:t>utilise</w:t>
            </w:r>
            <w:proofErr w:type="spellEnd"/>
            <w:r w:rsidRPr="00373798">
              <w:rPr>
                <w:rFonts w:ascii="Aptos" w:hAnsi="Aptos" w:cs="Arial"/>
                <w:sz w:val="20"/>
                <w:szCs w:val="20"/>
              </w:rPr>
              <w:t xml:space="preserve"> multiple tick genera; for example, Powassan virus has been documented in at least five tick species </w:t>
            </w:r>
            <w:r w:rsidR="00F3300F"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{"citationItems":[{"id":"ITEM-1","itemData":{"DOI":"10.1089/vbz.2017.2110","ISSN":"1530-3667","abstract":"Powassan virus (POWV, Flaviviridae ) is the only North American member of the tick-borne encephalitis serogroup of flaviviruses. It is transmitted to small- and medium-sized mammals by Ixodes scapularis , Ixodes cookei , and several other Ixodes tick species. Humans become infected with POWV during spillover transmission from the natural transmission cycles. In humans, POWV is the causative agent of a severe neuroinvasive illness with 50% of survivors displaying long-term neurological sequelae. POWV was recognized as a human pathogen in 1958 when a young boy died of severe encephalitis in Powassan, Ontario, and POWV was isolated from the brain autopsy of this case. Two distinct genetic lineages of POWV are now recognized: POWV (lineage I) and deer tick virus (lineage II). Since the index case in 1958, over 100 human cases of POWV have been reported, with an apparent rise in disease incidence in the past 16 years. This recent increase in cases may represent a true emergence of POWV in regions where the tick vector species are prevalent, or it could represent an increase in POWV surveillance and diagnosis. In the past 5 years, both basic and applied research for POWV disease has intensified, including phylogenetic studies, field surveillance, case studies, and animal model development. This review provides an overview of POWV, including the epidemiology, transmission, clinical disease, and diagnosis of POWV infection. Recent research developments and future priorities with regard to the disease are emphasized.","author":[{"dropping-particle":"","family":"Hermance","given":"Meghan E.","non-dropping-particle":"","parse-names":false,"suffix":""},{"dropping-particle":"","family":"Thangamani","given":"Saravanan","non-dropping-particle":"","parse-names":false,"suffix":""}],"container-title":"Vector-Borne and Zoonotic Diseases","id":"ITEM-1","issue":"7","issued":{"date-parts":[["2017","7","1"]]},"page":"453-462","title":"Powassan Virus: An Emerging Arbovirus of Public Health Concern in North America","type":"article-journal","volume":"17"},"uris":["http://www.mendeley.com/documents/?uuid=2376130e-a1d2-4945-918c-fa3b718165b7"]}],"mendeley":{"formattedCitation":"[29]","plainTextFormattedCitation":"[29]","previouslyFormattedCitation":"[29]"},"properties":{"noteIndex":0},"schema":"https://github.com/citation-style-language/schema/raw/master/csl-citation.json"}</w:instrText>
            </w:r>
            <w:r w:rsidR="00F3300F" w:rsidRPr="00373798">
              <w:rPr>
                <w:rFonts w:ascii="Aptos" w:hAnsi="Aptos" w:cs="Arial"/>
                <w:sz w:val="20"/>
                <w:szCs w:val="20"/>
              </w:rPr>
              <w:fldChar w:fldCharType="separate"/>
            </w:r>
            <w:r w:rsidR="00FE4AC7" w:rsidRPr="00373798">
              <w:rPr>
                <w:rFonts w:ascii="Aptos" w:hAnsi="Aptos" w:cs="Arial"/>
                <w:noProof/>
                <w:sz w:val="20"/>
                <w:szCs w:val="20"/>
              </w:rPr>
              <w:t>[29]</w:t>
            </w:r>
            <w:r w:rsidR="00F3300F" w:rsidRPr="00373798">
              <w:rPr>
                <w:rFonts w:ascii="Aptos" w:hAnsi="Aptos" w:cs="Arial"/>
                <w:sz w:val="20"/>
                <w:szCs w:val="20"/>
              </w:rPr>
              <w:fldChar w:fldCharType="end"/>
            </w:r>
            <w:r w:rsidRPr="00373798">
              <w:rPr>
                <w:rFonts w:ascii="Aptos" w:hAnsi="Aptos" w:cs="Arial"/>
                <w:sz w:val="20"/>
                <w:szCs w:val="20"/>
              </w:rPr>
              <w:t>. Applying vector association as a decisive criterion would thus necessitate splitting several currently accepted species. Vector and host differences between the proposed species are notable but fall within the range of intra</w:t>
            </w:r>
            <w:r w:rsidRPr="00373798">
              <w:rPr>
                <w:rFonts w:ascii="Cambria Math" w:hAnsi="Cambria Math" w:cs="Cambria Math"/>
                <w:sz w:val="20"/>
                <w:szCs w:val="20"/>
              </w:rPr>
              <w:t>‑</w:t>
            </w:r>
            <w:r w:rsidRPr="00373798">
              <w:rPr>
                <w:rFonts w:ascii="Aptos" w:hAnsi="Aptos" w:cs="Arial"/>
                <w:sz w:val="20"/>
                <w:szCs w:val="20"/>
              </w:rPr>
              <w:t>specific ecological variation observed in other orthoflaviviruses.</w:t>
            </w:r>
          </w:p>
          <w:p w14:paraId="5420D91E" w14:textId="77777777" w:rsidR="00A76F53" w:rsidRPr="00373798" w:rsidRDefault="00A76F53" w:rsidP="00C634F8">
            <w:pPr>
              <w:rPr>
                <w:rFonts w:ascii="Aptos" w:hAnsi="Aptos" w:cs="Arial"/>
                <w:sz w:val="20"/>
                <w:szCs w:val="20"/>
              </w:rPr>
            </w:pPr>
          </w:p>
          <w:p w14:paraId="499FA925" w14:textId="0C65F61D" w:rsidR="008C5EFE" w:rsidRPr="00373798" w:rsidRDefault="008C5EFE" w:rsidP="008C5EFE">
            <w:pPr>
              <w:rPr>
                <w:rFonts w:ascii="Aptos" w:hAnsi="Aptos" w:cs="Arial"/>
                <w:sz w:val="20"/>
                <w:szCs w:val="20"/>
              </w:rPr>
            </w:pPr>
            <w:r w:rsidRPr="00373798">
              <w:rPr>
                <w:rFonts w:ascii="Aptos" w:hAnsi="Aptos" w:cs="Arial"/>
                <w:sz w:val="20"/>
                <w:szCs w:val="20"/>
                <w:u w:val="single"/>
              </w:rPr>
              <w:t>2.</w:t>
            </w:r>
            <w:r w:rsidR="00437F07" w:rsidRPr="00373798">
              <w:rPr>
                <w:rFonts w:ascii="Aptos" w:hAnsi="Aptos" w:cs="Arial"/>
                <w:sz w:val="20"/>
                <w:szCs w:val="20"/>
                <w:u w:val="single"/>
              </w:rPr>
              <w:t>6</w:t>
            </w:r>
            <w:r w:rsidRPr="00373798">
              <w:rPr>
                <w:rFonts w:ascii="Aptos" w:hAnsi="Aptos" w:cs="Arial"/>
                <w:sz w:val="20"/>
                <w:szCs w:val="20"/>
                <w:u w:val="single"/>
              </w:rPr>
              <w:t xml:space="preserve"> </w:t>
            </w:r>
            <w:r w:rsidR="00437F07" w:rsidRPr="00373798">
              <w:rPr>
                <w:rFonts w:ascii="Aptos" w:hAnsi="Aptos" w:cs="Arial"/>
                <w:sz w:val="20"/>
                <w:szCs w:val="20"/>
                <w:u w:val="single"/>
              </w:rPr>
              <w:t>Ecological characteristics</w:t>
            </w:r>
          </w:p>
          <w:p w14:paraId="38193699" w14:textId="28C844B4" w:rsidR="008C5EFE" w:rsidRPr="00373798" w:rsidRDefault="00F3300F" w:rsidP="00C634F8">
            <w:pPr>
              <w:rPr>
                <w:rFonts w:ascii="Aptos" w:hAnsi="Aptos" w:cs="Arial"/>
                <w:sz w:val="20"/>
                <w:szCs w:val="20"/>
              </w:rPr>
            </w:pPr>
            <w:r w:rsidRPr="00373798">
              <w:rPr>
                <w:rFonts w:ascii="Aptos" w:hAnsi="Aptos" w:cs="Arial"/>
                <w:sz w:val="20"/>
                <w:szCs w:val="20"/>
              </w:rPr>
              <w:t xml:space="preserve">The </w:t>
            </w:r>
            <w:r w:rsidR="00BF416F" w:rsidRPr="00373798">
              <w:rPr>
                <w:rFonts w:ascii="Aptos" w:hAnsi="Aptos" w:cs="Arial"/>
                <w:sz w:val="20"/>
                <w:szCs w:val="20"/>
              </w:rPr>
              <w:t xml:space="preserve">ratified </w:t>
            </w:r>
            <w:r w:rsidRPr="00373798">
              <w:rPr>
                <w:rFonts w:ascii="Aptos" w:hAnsi="Aptos" w:cs="Arial"/>
                <w:sz w:val="20"/>
                <w:szCs w:val="20"/>
              </w:rPr>
              <w:t>proposal points to differences in the seasonal activity of the main tick vectors and in the structure of natural foci. Such observations are valuable as they help to fill in the ecological background of these viruses, but they largely describe the settings in which different populations circulate. Ecological shifts of this kind routinely accompany population divergence and are not, in themselves, a signature of completed speciation. They are consistent with population</w:t>
            </w:r>
            <w:r w:rsidRPr="00373798">
              <w:rPr>
                <w:rFonts w:ascii="Cambria Math" w:hAnsi="Cambria Math" w:cs="Cambria Math"/>
                <w:sz w:val="20"/>
                <w:szCs w:val="20"/>
              </w:rPr>
              <w:t>‑</w:t>
            </w:r>
            <w:r w:rsidRPr="00373798">
              <w:rPr>
                <w:rFonts w:ascii="Aptos" w:hAnsi="Aptos" w:cs="Arial"/>
                <w:sz w:val="20"/>
                <w:szCs w:val="20"/>
              </w:rPr>
              <w:t>level differentiation, but they do not supply independent evidence that species</w:t>
            </w:r>
            <w:r w:rsidRPr="00373798">
              <w:rPr>
                <w:rFonts w:ascii="Cambria Math" w:hAnsi="Cambria Math" w:cs="Cambria Math"/>
                <w:sz w:val="20"/>
                <w:szCs w:val="20"/>
              </w:rPr>
              <w:t>‑</w:t>
            </w:r>
            <w:r w:rsidRPr="00373798">
              <w:rPr>
                <w:rFonts w:ascii="Aptos" w:hAnsi="Aptos" w:cs="Arial"/>
                <w:sz w:val="20"/>
                <w:szCs w:val="20"/>
              </w:rPr>
              <w:t>level boundaries have been crossed.</w:t>
            </w:r>
          </w:p>
          <w:p w14:paraId="49318012" w14:textId="77777777" w:rsidR="00437F07" w:rsidRPr="00373798" w:rsidRDefault="00437F07" w:rsidP="00C634F8">
            <w:pPr>
              <w:rPr>
                <w:rFonts w:ascii="Aptos" w:hAnsi="Aptos" w:cs="Arial"/>
                <w:sz w:val="20"/>
                <w:szCs w:val="20"/>
              </w:rPr>
            </w:pPr>
          </w:p>
          <w:p w14:paraId="6029A51D" w14:textId="1F7B6CCA" w:rsidR="00437F07" w:rsidRPr="00373798" w:rsidRDefault="00437F07" w:rsidP="00437F07">
            <w:pPr>
              <w:rPr>
                <w:rFonts w:ascii="Aptos" w:hAnsi="Aptos" w:cs="Arial"/>
                <w:sz w:val="20"/>
                <w:szCs w:val="20"/>
              </w:rPr>
            </w:pPr>
            <w:r w:rsidRPr="00373798">
              <w:rPr>
                <w:rFonts w:ascii="Aptos" w:hAnsi="Aptos" w:cs="Arial"/>
                <w:sz w:val="20"/>
                <w:szCs w:val="20"/>
                <w:u w:val="single"/>
              </w:rPr>
              <w:t>2.7 Overall assessment against the ICTV criteria</w:t>
            </w:r>
          </w:p>
          <w:p w14:paraId="38D13799" w14:textId="6B20C30F" w:rsidR="008C5EFE" w:rsidRPr="00373798" w:rsidRDefault="00437F07" w:rsidP="00437F07">
            <w:pPr>
              <w:rPr>
                <w:rFonts w:ascii="Aptos" w:hAnsi="Aptos" w:cs="Arial"/>
                <w:sz w:val="20"/>
                <w:szCs w:val="20"/>
              </w:rPr>
            </w:pPr>
            <w:r w:rsidRPr="00373798">
              <w:rPr>
                <w:rFonts w:ascii="Aptos" w:hAnsi="Aptos" w:cs="Arial"/>
                <w:sz w:val="20"/>
                <w:szCs w:val="20"/>
              </w:rPr>
              <w:t xml:space="preserve">In summary, the </w:t>
            </w:r>
            <w:r w:rsidR="00541A4D">
              <w:rPr>
                <w:rFonts w:ascii="Aptos" w:hAnsi="Aptos" w:cs="Arial"/>
                <w:sz w:val="20"/>
                <w:szCs w:val="20"/>
              </w:rPr>
              <w:t xml:space="preserve">previous </w:t>
            </w:r>
            <w:r w:rsidR="00541A4D" w:rsidRPr="00373798">
              <w:rPr>
                <w:rFonts w:ascii="Aptos" w:hAnsi="Aptos" w:cs="Arial"/>
                <w:sz w:val="20"/>
                <w:szCs w:val="20"/>
              </w:rPr>
              <w:t xml:space="preserve">proposal </w:t>
            </w:r>
            <w:proofErr w:type="gramStart"/>
            <w:r w:rsidR="00BF416F" w:rsidRPr="00373798">
              <w:rPr>
                <w:rFonts w:ascii="Aptos" w:hAnsi="Aptos" w:cs="Arial"/>
                <w:sz w:val="20"/>
                <w:szCs w:val="20"/>
                <w:u w:val="single"/>
              </w:rPr>
              <w:t>2025.007S.A</w:t>
            </w:r>
            <w:proofErr w:type="gramEnd"/>
            <w:r w:rsidR="00BF416F" w:rsidRPr="00373798">
              <w:rPr>
                <w:rFonts w:ascii="Aptos" w:hAnsi="Aptos" w:cs="Arial"/>
                <w:sz w:val="20"/>
                <w:szCs w:val="20"/>
                <w:u w:val="single"/>
              </w:rPr>
              <w:t xml:space="preserve">.v3.Orthoflavivirus_2nsp_1spren </w:t>
            </w:r>
            <w:r w:rsidRPr="00373798">
              <w:rPr>
                <w:rFonts w:ascii="Aptos" w:hAnsi="Aptos" w:cs="Arial"/>
                <w:sz w:val="20"/>
                <w:szCs w:val="20"/>
              </w:rPr>
              <w:t xml:space="preserve">brings real TBEV </w:t>
            </w:r>
            <w:r w:rsidRPr="00373798">
              <w:rPr>
                <w:rFonts w:ascii="Aptos" w:hAnsi="Aptos" w:cs="Arial"/>
                <w:sz w:val="20"/>
                <w:szCs w:val="20"/>
              </w:rPr>
              <w:lastRenderedPageBreak/>
              <w:t xml:space="preserve">group genetic and phenotypic diversity into focus, but </w:t>
            </w:r>
            <w:r w:rsidR="009F7221" w:rsidRPr="009F7221">
              <w:rPr>
                <w:rFonts w:ascii="Aptos" w:hAnsi="Aptos" w:cs="Arial"/>
                <w:sz w:val="20"/>
                <w:szCs w:val="20"/>
              </w:rPr>
              <w:t xml:space="preserve">the available evidence </w:t>
            </w:r>
            <w:r w:rsidR="00541A4D">
              <w:rPr>
                <w:rFonts w:ascii="Aptos" w:hAnsi="Aptos" w:cs="Arial"/>
                <w:sz w:val="20"/>
                <w:szCs w:val="20"/>
              </w:rPr>
              <w:t xml:space="preserve">suggested there </w:t>
            </w:r>
            <w:r w:rsidR="009F7221" w:rsidRPr="009F7221">
              <w:rPr>
                <w:rFonts w:ascii="Aptos" w:hAnsi="Aptos" w:cs="Arial"/>
                <w:sz w:val="20"/>
                <w:szCs w:val="20"/>
              </w:rPr>
              <w:t>does not provide a sufficiently consistent basis for species-level separation according to the ICTV criteria</w:t>
            </w:r>
            <w:r w:rsidRPr="00373798">
              <w:rPr>
                <w:rFonts w:ascii="Aptos" w:hAnsi="Aptos" w:cs="Arial"/>
                <w:sz w:val="20"/>
                <w:szCs w:val="20"/>
              </w:rPr>
              <w:t>. The sequence</w:t>
            </w:r>
            <w:r w:rsidRPr="00373798">
              <w:rPr>
                <w:rFonts w:ascii="Cambria Math" w:hAnsi="Cambria Math" w:cs="Cambria Math"/>
                <w:sz w:val="20"/>
                <w:szCs w:val="20"/>
              </w:rPr>
              <w:t>‑</w:t>
            </w:r>
            <w:r w:rsidRPr="00373798">
              <w:rPr>
                <w:rFonts w:ascii="Aptos" w:hAnsi="Aptos" w:cs="Arial"/>
                <w:sz w:val="20"/>
                <w:szCs w:val="20"/>
              </w:rPr>
              <w:t xml:space="preserve">based delimitation is applied unevenly, the antigenic comparisons are not corroborated by direct </w:t>
            </w:r>
            <w:r w:rsidR="00541A4D" w:rsidRPr="00373798">
              <w:rPr>
                <w:rFonts w:ascii="Aptos" w:hAnsi="Aptos" w:cs="Arial"/>
                <w:sz w:val="20"/>
                <w:szCs w:val="20"/>
              </w:rPr>
              <w:t>neutralization</w:t>
            </w:r>
            <w:r w:rsidRPr="00373798">
              <w:rPr>
                <w:rFonts w:ascii="Aptos" w:hAnsi="Aptos" w:cs="Arial"/>
                <w:sz w:val="20"/>
                <w:szCs w:val="20"/>
              </w:rPr>
              <w:t xml:space="preserve"> data, the clinical contrasts come with historical caveats, and </w:t>
            </w:r>
            <w:r w:rsidR="009F7221" w:rsidRPr="009F7221">
              <w:rPr>
                <w:rFonts w:ascii="Aptos" w:hAnsi="Aptos" w:cs="Arial"/>
                <w:sz w:val="20"/>
                <w:szCs w:val="20"/>
              </w:rPr>
              <w:t xml:space="preserve">the ecological and vector-associated differences </w:t>
            </w:r>
            <w:r w:rsidR="00541A4D">
              <w:rPr>
                <w:rFonts w:ascii="Aptos" w:hAnsi="Aptos" w:cs="Arial"/>
                <w:sz w:val="20"/>
                <w:szCs w:val="20"/>
              </w:rPr>
              <w:t xml:space="preserve">between the proposed species </w:t>
            </w:r>
            <w:r w:rsidR="009F7221" w:rsidRPr="009F7221">
              <w:rPr>
                <w:rFonts w:ascii="Aptos" w:hAnsi="Aptos" w:cs="Arial"/>
                <w:sz w:val="20"/>
                <w:szCs w:val="20"/>
              </w:rPr>
              <w:t xml:space="preserve">are compatible with the range of variation observed within </w:t>
            </w:r>
            <w:r w:rsidR="00541A4D">
              <w:rPr>
                <w:rFonts w:ascii="Aptos" w:hAnsi="Aptos" w:cs="Arial"/>
                <w:sz w:val="20"/>
                <w:szCs w:val="20"/>
              </w:rPr>
              <w:t xml:space="preserve">other </w:t>
            </w:r>
            <w:r w:rsidR="009F7221" w:rsidRPr="009F7221">
              <w:rPr>
                <w:rFonts w:ascii="Aptos" w:hAnsi="Aptos" w:cs="Arial"/>
                <w:sz w:val="20"/>
                <w:szCs w:val="20"/>
              </w:rPr>
              <w:t>established orthoflavivirus species</w:t>
            </w:r>
            <w:r w:rsidRPr="00373798">
              <w:rPr>
                <w:rFonts w:ascii="Aptos" w:hAnsi="Aptos" w:cs="Arial"/>
                <w:sz w:val="20"/>
                <w:szCs w:val="20"/>
              </w:rPr>
              <w:t>.</w:t>
            </w:r>
          </w:p>
          <w:p w14:paraId="02965F14" w14:textId="5DCA3CC8" w:rsidR="00437F07" w:rsidRPr="00373798" w:rsidRDefault="00437F07" w:rsidP="00C634F8">
            <w:pPr>
              <w:rPr>
                <w:rFonts w:ascii="Aptos" w:hAnsi="Aptos" w:cs="Arial"/>
                <w:sz w:val="20"/>
                <w:szCs w:val="20"/>
              </w:rPr>
            </w:pPr>
          </w:p>
          <w:p w14:paraId="328ABF8B" w14:textId="241F84E1" w:rsidR="00437F07" w:rsidRPr="00373798" w:rsidRDefault="00437F07" w:rsidP="00C634F8">
            <w:pPr>
              <w:rPr>
                <w:rFonts w:ascii="Aptos" w:hAnsi="Aptos" w:cs="Arial"/>
                <w:sz w:val="20"/>
                <w:szCs w:val="20"/>
                <w:u w:val="single"/>
              </w:rPr>
            </w:pPr>
            <w:r w:rsidRPr="00373798">
              <w:rPr>
                <w:rFonts w:ascii="Aptos" w:hAnsi="Aptos" w:cs="Arial"/>
                <w:sz w:val="20"/>
                <w:szCs w:val="20"/>
                <w:u w:val="single"/>
              </w:rPr>
              <w:t>3. Evaluation of the alternative framework against the ICTV criteria</w:t>
            </w:r>
          </w:p>
          <w:p w14:paraId="444BBC58" w14:textId="42BFEA54" w:rsidR="00C634F8" w:rsidRPr="00373798" w:rsidRDefault="00682825" w:rsidP="00C634F8">
            <w:pPr>
              <w:rPr>
                <w:rFonts w:ascii="Aptos" w:hAnsi="Aptos" w:cs="Arial"/>
                <w:sz w:val="20"/>
                <w:szCs w:val="20"/>
              </w:rPr>
            </w:pPr>
            <w:r w:rsidRPr="00373798">
              <w:rPr>
                <w:rFonts w:ascii="Aptos" w:hAnsi="Aptos" w:cs="Arial"/>
                <w:sz w:val="20"/>
                <w:szCs w:val="20"/>
              </w:rPr>
              <w:t>The single</w:t>
            </w:r>
            <w:r w:rsidRPr="00373798">
              <w:rPr>
                <w:rFonts w:ascii="Cambria Math" w:hAnsi="Cambria Math" w:cs="Cambria Math"/>
                <w:sz w:val="20"/>
                <w:szCs w:val="20"/>
              </w:rPr>
              <w:t>‑</w:t>
            </w:r>
            <w:r w:rsidRPr="00373798">
              <w:rPr>
                <w:rFonts w:ascii="Aptos" w:hAnsi="Aptos" w:cs="Arial"/>
                <w:sz w:val="20"/>
                <w:szCs w:val="20"/>
              </w:rPr>
              <w:t xml:space="preserve">species framework we propose (specified in </w:t>
            </w:r>
            <w:r w:rsidRPr="00373798">
              <w:rPr>
                <w:rFonts w:ascii="Aptos" w:hAnsi="Aptos" w:cs="Arial"/>
                <w:i/>
                <w:sz w:val="20"/>
                <w:szCs w:val="20"/>
              </w:rPr>
              <w:t>Proposed</w:t>
            </w:r>
            <w:r w:rsidRPr="00373798">
              <w:rPr>
                <w:rFonts w:ascii="Aptos" w:hAnsi="Aptos" w:cs="Arial"/>
                <w:sz w:val="20"/>
                <w:szCs w:val="20"/>
              </w:rPr>
              <w:t xml:space="preserve"> </w:t>
            </w:r>
            <w:r w:rsidRPr="00373798">
              <w:rPr>
                <w:rFonts w:ascii="Aptos" w:hAnsi="Aptos" w:cs="Arial"/>
                <w:i/>
                <w:sz w:val="20"/>
                <w:szCs w:val="20"/>
              </w:rPr>
              <w:t>taxonomic changes</w:t>
            </w:r>
            <w:r w:rsidRPr="00373798">
              <w:rPr>
                <w:rFonts w:ascii="Aptos" w:hAnsi="Aptos" w:cs="Arial"/>
                <w:sz w:val="20"/>
                <w:szCs w:val="20"/>
              </w:rPr>
              <w:t xml:space="preserve"> and </w:t>
            </w:r>
            <w:r w:rsidRPr="00373798">
              <w:rPr>
                <w:rFonts w:ascii="Aptos" w:hAnsi="Aptos" w:cs="Arial"/>
                <w:i/>
                <w:sz w:val="20"/>
                <w:szCs w:val="20"/>
              </w:rPr>
              <w:t xml:space="preserve">Demarcation criteria for new taxa </w:t>
            </w:r>
            <w:r w:rsidRPr="00743BA1">
              <w:rPr>
                <w:rFonts w:ascii="Aptos" w:hAnsi="Aptos" w:cs="Arial"/>
                <w:iCs/>
                <w:sz w:val="20"/>
                <w:szCs w:val="20"/>
              </w:rPr>
              <w:t>sections based on</w:t>
            </w:r>
            <w:r w:rsidRPr="00373798">
              <w:rPr>
                <w:rFonts w:ascii="Aptos" w:hAnsi="Aptos" w:cs="Arial"/>
                <w:i/>
                <w:sz w:val="20"/>
                <w:szCs w:val="20"/>
              </w:rPr>
              <w:t xml:space="preserve"> </w:t>
            </w:r>
            <w:r w:rsidRPr="00373798">
              <w:rPr>
                <w:rFonts w:ascii="Aptos" w:hAnsi="Aptos" w:cs="Arial"/>
                <w:i/>
                <w:sz w:val="20"/>
                <w:szCs w:val="20"/>
              </w:rPr>
              <w:fldChar w:fldCharType="begin" w:fldLock="1"/>
            </w:r>
            <w:r w:rsidR="00266B21" w:rsidRPr="00373798">
              <w:rPr>
                <w:rFonts w:ascii="Aptos" w:hAnsi="Aptos" w:cs="Arial"/>
                <w:i/>
                <w:sz w:val="20"/>
                <w:szCs w:val="20"/>
              </w:rPr>
              <w:instrText>ADDIN CSL_CITATION {"citationItems":[{"id":"ITEM-1","itemData":{"DOI":"10.3390/v16101554","ISSN":"1999-4915","abstract":"Orthoflaviviruses are arthropod-borne viruses that are transmitted by mosquitoes or ticks and cause a range of significant human diseases. Among the most important tick-borne orthoflaviviruses (TBFVs) is tick-borne encephalitis virus (TBEV), which is endemic in Eurasia, and Powassan virus, which is endemic in Asia and North America. There is a significant controversy regarding species assignment in the tick-borne encephalitis virus complex due to the complex phylogenetic, serological, ecological, and pathogenetic properties of viruses. Comparing the rate of non-synonymous to synonymous substitutions (dN/dS) over the course of tick-borne orthoflavivirus diversification suggests that there is a very strong stabilizing selection (Nei-Gojobori dN/dS &lt; 0.1) among tick-borne orthoflaviviruses that differ by less than 13.5% amino acid/21.4% nucleotide sequences, and discretely more rapid accumulation of non-synonymous substitutions (dN/dS &gt; 0.13) among more divergent viruses that belong to distinct species. This pattern was similarly observed in genome regions encoding structural (E) and non-structural (NS3) proteins. Below this distance threshold, viruses appear fit and strongly tied to their ecological niche, whereas above the threshold, a greater degree of adaptation appears necessary. This species criterion suggests that all subtypes of TBEV, all related ovine/caprine encephalomyelitis viruses, and Omsk hemorrhagic fever virus (OHFV) together correspond to a single species. Within this species, viruses make up 11 subtypes that are reliably segregated by a 10% nucleotide distance cut-off suggested earlier for TBEV. The same 10% subtype cut-off suggests that Powassan virus includes two subtypes, Powassan and Deer Tick virus.","author":[{"dropping-particle":"","family":"Deviatkin","given":"Andrei A","non-dropping-particle":"","parse-names":false,"suffix":""},{"dropping-particle":"","family":"Aleshina","given":"Yulia A","non-dropping-particle":"","parse-names":false,"suffix":""},{"dropping-particle":"","family":"Karganova","given":"Galina G","non-dropping-particle":"","parse-names":false,"suffix":""},{"dropping-particle":"","family":"Lukashev","given":"Alexander N","non-dropping-particle":"","parse-names":false,"suffix":""}],"container-title":"Viruses","id":"ITEM-1","issue":"10","issued":{"date-parts":[["2024","9","30"]]},"page":"1554","title":"Selection Pressure Profile Suggests Species Criteria among Tick-Borne Orthoflaviviruses","type":"article-journal","volume":"16"},"uris":["http://www.mendeley.com/documents/?uuid=3ce1ce96-6ba7-42f2-884a-f00f15a74e55"]},{"id":"ITEM-2","itemData":{"DOI":"10.3390/v12111240","ISSN":"1999-4915","abstract":"Currently, the lowest formal taxon in virus classification is species; however, unofficial lower-level units are commonly used in everyday work. Tick-borne encephalitis virus (TBEV) is a species of mammalian tick-borne flaviviruses that may cause encephalitis. Many known representatives of TBEV are grouped into subtypes, mostly according to their phylogenetic relationship. However, the emergence of novel sequences could dissolve this phylogenetic grouping; in the absence of strict quantitative criterion, it may be hard to define the borders of the first TBEV taxonomic unit below the species level. In this study, the nucleotide/amino-acid space of all known TBEV sequences was analyzed. Amino-acid sequence p-distances could not reliably distinguish TBEV subtypes. Viruses that differed by less than 10% of nucleotides in the polyprotein-coding gene belonged to the same subtype. At the same time, more divergent viruses were representatives of different subtypes. According to this distance criterion, TBEV species may be divided into seven subtypes: TBEV-Eur, TBEV-Sib, TBEV-FE, TBEV-2871 (TBEV-Ob), TBEV-Him, TBEV-178-79 (TBEV-Bkl-1), and TBEV-886-84 (TBEV-Bkl-2).","author":[{"dropping-particle":"","family":"Deviatkin","given":"Andrei A","non-dropping-particle":"","parse-names":false,"suffix":""},{"dropping-particle":"","family":"Karganova","given":"Galina G","non-dropping-particle":"","parse-names":false,"suffix":""},{"dropping-particle":"","family":"Vakulenko","given":"Yulia A","non-dropping-particle":"","parse-names":false,"suffix":""},{"dropping-particle":"","family":"Lukashev","given":"Alexander N","non-dropping-particle":"","parse-names":false,"suffix":""}],"container-title":"Viruses","id":"ITEM-2","issue":"11","issued":{"date-parts":[["2020","10","31"]]},"page":"1240","title":"TBEV Subtyping in Terms of Genetic Distance","type":"article-journal","volume":"12"},"uris":["http://www.mendeley.com/documents/?uuid=68091133-109e-4f73-80be-ae81459fdc4b"]}],"mendeley":{"formattedCitation":"[1, 13]","plainTextFormattedCitation":"[1, 13]","previouslyFormattedCitation":"[1, 13]"},"properties":{"noteIndex":0},"schema":"https://github.com/citation-style-language/schema/raw/master/csl-citation.json"}</w:instrText>
            </w:r>
            <w:r w:rsidRPr="00373798">
              <w:rPr>
                <w:rFonts w:ascii="Aptos" w:hAnsi="Aptos" w:cs="Arial"/>
                <w:i/>
                <w:sz w:val="20"/>
                <w:szCs w:val="20"/>
              </w:rPr>
              <w:fldChar w:fldCharType="separate"/>
            </w:r>
            <w:r w:rsidR="00266B21" w:rsidRPr="00373798">
              <w:rPr>
                <w:rFonts w:ascii="Aptos" w:hAnsi="Aptos" w:cs="Arial"/>
                <w:noProof/>
                <w:sz w:val="20"/>
                <w:szCs w:val="20"/>
              </w:rPr>
              <w:t>[1, 13]</w:t>
            </w:r>
            <w:r w:rsidRPr="00373798">
              <w:rPr>
                <w:rFonts w:ascii="Aptos" w:hAnsi="Aptos" w:cs="Arial"/>
                <w:i/>
                <w:sz w:val="20"/>
                <w:szCs w:val="20"/>
              </w:rPr>
              <w:fldChar w:fldCharType="end"/>
            </w:r>
            <w:r w:rsidR="00266B21" w:rsidRPr="00373798">
              <w:rPr>
                <w:rFonts w:ascii="Aptos" w:hAnsi="Aptos" w:cs="Arial"/>
                <w:i/>
                <w:sz w:val="20"/>
                <w:szCs w:val="20"/>
              </w:rPr>
              <w:t>)</w:t>
            </w:r>
            <w:r w:rsidRPr="00373798">
              <w:rPr>
                <w:rFonts w:ascii="Aptos" w:hAnsi="Aptos" w:cs="Arial"/>
                <w:sz w:val="20"/>
                <w:szCs w:val="20"/>
              </w:rPr>
              <w:t xml:space="preserve"> is aligned with the six demarcation criteria used by the ICTV Flaviviridae Study Group. In the following sections, we evaluate its performance with respect to each criterion.</w:t>
            </w:r>
          </w:p>
          <w:p w14:paraId="6E04A466" w14:textId="2A96FCE7" w:rsidR="00682825" w:rsidRPr="00373798" w:rsidRDefault="00682825" w:rsidP="00C634F8">
            <w:pPr>
              <w:rPr>
                <w:rFonts w:ascii="Aptos" w:hAnsi="Aptos" w:cs="Arial"/>
                <w:sz w:val="20"/>
                <w:szCs w:val="20"/>
              </w:rPr>
            </w:pPr>
          </w:p>
          <w:p w14:paraId="7D7104BA" w14:textId="63544065" w:rsidR="00266B21" w:rsidRPr="00743BA1" w:rsidRDefault="00266B21" w:rsidP="00C634F8">
            <w:pPr>
              <w:rPr>
                <w:rFonts w:ascii="Aptos" w:hAnsi="Aptos" w:cs="Arial"/>
                <w:sz w:val="20"/>
                <w:szCs w:val="20"/>
                <w:u w:val="single"/>
              </w:rPr>
            </w:pPr>
            <w:r w:rsidRPr="00373798">
              <w:rPr>
                <w:rFonts w:ascii="Aptos" w:hAnsi="Aptos" w:cs="Arial"/>
                <w:sz w:val="20"/>
                <w:szCs w:val="20"/>
                <w:u w:val="single"/>
              </w:rPr>
              <w:t>3.1 Nucleotide and deduced amino acid sequence data</w:t>
            </w:r>
          </w:p>
          <w:p w14:paraId="6E8BA0D6" w14:textId="79EE16B0" w:rsidR="000F5339" w:rsidRPr="00373798" w:rsidRDefault="00266B21" w:rsidP="00234D98">
            <w:pPr>
              <w:rPr>
                <w:rFonts w:ascii="Aptos" w:hAnsi="Aptos" w:cs="Arial"/>
                <w:sz w:val="20"/>
                <w:szCs w:val="20"/>
              </w:rPr>
            </w:pPr>
            <w:r w:rsidRPr="00373798">
              <w:rPr>
                <w:rFonts w:ascii="Aptos" w:hAnsi="Aptos" w:cs="Arial"/>
                <w:sz w:val="20"/>
                <w:szCs w:val="20"/>
              </w:rPr>
              <w:t>Our proposal is based on a quantitative, reproducible standard. Seven TBEV subtypes (Eur, Sib, FE, Bkl</w:t>
            </w:r>
            <w:r w:rsidRPr="00373798">
              <w:rPr>
                <w:rFonts w:ascii="Cambria Math" w:hAnsi="Cambria Math" w:cs="Cambria Math"/>
                <w:sz w:val="20"/>
                <w:szCs w:val="20"/>
              </w:rPr>
              <w:t>‑</w:t>
            </w:r>
            <w:r w:rsidRPr="00373798">
              <w:rPr>
                <w:rFonts w:ascii="Aptos" w:hAnsi="Aptos" w:cs="Arial"/>
                <w:sz w:val="20"/>
                <w:szCs w:val="20"/>
              </w:rPr>
              <w:t>1, Bkl</w:t>
            </w:r>
            <w:r w:rsidRPr="00373798">
              <w:rPr>
                <w:rFonts w:ascii="Cambria Math" w:hAnsi="Cambria Math" w:cs="Cambria Math"/>
                <w:sz w:val="20"/>
                <w:szCs w:val="20"/>
              </w:rPr>
              <w:t>‑</w:t>
            </w:r>
            <w:r w:rsidRPr="00373798">
              <w:rPr>
                <w:rFonts w:ascii="Aptos" w:hAnsi="Aptos" w:cs="Arial"/>
                <w:sz w:val="20"/>
                <w:szCs w:val="20"/>
              </w:rPr>
              <w:t>2, Ob, and Him), LIV (including SSEV and SGEV), TSEV (including GGEV), and two OHFV subtypes (OHFV</w:t>
            </w:r>
            <w:r w:rsidRPr="00373798">
              <w:rPr>
                <w:rFonts w:ascii="Cambria Math" w:hAnsi="Cambria Math" w:cs="Cambria Math"/>
                <w:sz w:val="20"/>
                <w:szCs w:val="20"/>
              </w:rPr>
              <w:t>‑</w:t>
            </w:r>
            <w:r w:rsidRPr="00373798">
              <w:rPr>
                <w:rFonts w:ascii="Aptos" w:hAnsi="Aptos" w:cs="Arial"/>
                <w:sz w:val="20"/>
                <w:szCs w:val="20"/>
              </w:rPr>
              <w:t>1 and OHFV</w:t>
            </w:r>
            <w:r w:rsidRPr="00373798">
              <w:rPr>
                <w:rFonts w:ascii="Cambria Math" w:hAnsi="Cambria Math" w:cs="Cambria Math"/>
                <w:sz w:val="20"/>
                <w:szCs w:val="20"/>
              </w:rPr>
              <w:t>‑</w:t>
            </w:r>
            <w:r w:rsidRPr="00373798">
              <w:rPr>
                <w:rFonts w:ascii="Aptos" w:hAnsi="Aptos" w:cs="Arial"/>
                <w:sz w:val="20"/>
                <w:szCs w:val="20"/>
              </w:rPr>
              <w:t>2) are united by a nucleotide divergence not exceeding 23% and an amino acid divergence below 1</w:t>
            </w:r>
            <w:r w:rsidR="00FE4AC7" w:rsidRPr="00373798">
              <w:rPr>
                <w:rFonts w:ascii="Aptos" w:hAnsi="Aptos" w:cs="Arial"/>
                <w:sz w:val="20"/>
                <w:szCs w:val="20"/>
              </w:rPr>
              <w:t>4</w:t>
            </w:r>
            <w:r w:rsidRPr="00373798">
              <w:rPr>
                <w:rFonts w:ascii="Aptos" w:hAnsi="Aptos" w:cs="Arial"/>
                <w:sz w:val="20"/>
                <w:szCs w:val="20"/>
              </w:rPr>
              <w:t xml:space="preserve">% over the complete polyprotein (uncorrected distances). These </w:t>
            </w:r>
            <w:r w:rsidR="00541A4D">
              <w:rPr>
                <w:rFonts w:ascii="Aptos" w:hAnsi="Aptos" w:cs="Arial"/>
                <w:sz w:val="20"/>
                <w:szCs w:val="20"/>
              </w:rPr>
              <w:t>boundaries</w:t>
            </w:r>
            <w:r w:rsidR="00541A4D" w:rsidRPr="00373798">
              <w:rPr>
                <w:rFonts w:ascii="Aptos" w:hAnsi="Aptos" w:cs="Arial"/>
                <w:sz w:val="20"/>
                <w:szCs w:val="20"/>
              </w:rPr>
              <w:t xml:space="preserve"> </w:t>
            </w:r>
            <w:r w:rsidRPr="00373798">
              <w:rPr>
                <w:rFonts w:ascii="Aptos" w:hAnsi="Aptos" w:cs="Arial"/>
                <w:sz w:val="20"/>
                <w:szCs w:val="20"/>
              </w:rPr>
              <w:t xml:space="preserve">correspond to the abrupt shift in selective pressure identified by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profiling: within the species, </w:t>
            </w:r>
            <w:proofErr w:type="spellStart"/>
            <w:r w:rsidRPr="00373798">
              <w:rPr>
                <w:rFonts w:ascii="Aptos" w:hAnsi="Aptos" w:cs="Arial"/>
                <w:sz w:val="20"/>
                <w:szCs w:val="20"/>
              </w:rPr>
              <w:t>Nei</w:t>
            </w:r>
            <w:r w:rsidRPr="00373798">
              <w:rPr>
                <w:rFonts w:ascii="Cambria Math" w:hAnsi="Cambria Math" w:cs="Cambria Math"/>
                <w:sz w:val="20"/>
                <w:szCs w:val="20"/>
              </w:rPr>
              <w:t>‑</w:t>
            </w:r>
            <w:r w:rsidRPr="00373798">
              <w:rPr>
                <w:rFonts w:ascii="Aptos" w:hAnsi="Aptos" w:cs="Arial"/>
                <w:sz w:val="20"/>
                <w:szCs w:val="20"/>
              </w:rPr>
              <w:t>Gojobori</w:t>
            </w:r>
            <w:proofErr w:type="spellEnd"/>
            <w:r w:rsidRPr="00373798">
              <w:rPr>
                <w:rFonts w:ascii="Aptos" w:hAnsi="Aptos" w:cs="Arial"/>
                <w:sz w:val="20"/>
                <w:szCs w:val="20"/>
              </w:rPr>
              <w:t xml:space="preserve">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remains below 0.11, indicating strong purifying selection, whereas pairwise comparisons that cross the species boundary consistently exceed 0.13 </w:t>
            </w:r>
            <w:r w:rsidRPr="00373798">
              <w:rPr>
                <w:rFonts w:ascii="Aptos" w:hAnsi="Aptos" w:cs="Arial"/>
                <w:sz w:val="20"/>
                <w:szCs w:val="20"/>
              </w:rPr>
              <w:fldChar w:fldCharType="begin" w:fldLock="1"/>
            </w:r>
            <w:r w:rsidR="001E298D" w:rsidRPr="00373798">
              <w:rPr>
                <w:rFonts w:ascii="Aptos" w:hAnsi="Aptos" w:cs="Arial"/>
                <w:sz w:val="20"/>
                <w:szCs w:val="20"/>
              </w:rPr>
              <w:instrText>ADDIN CSL_CITATION {"citationItems":[{"id":"ITEM-1","itemData":{"DOI":"10.3390/v16101554","ISSN":"1999-4915","abstract":"Orthoflaviviruses are arthropod-borne viruses that are transmitted by mosquitoes or ticks and cause a range of significant human diseases. Among the most important tick-borne orthoflaviviruses (TBFVs) is tick-borne encephalitis virus (TBEV), which is endemic in Eurasia, and Powassan virus, which is endemic in Asia and North America. There is a significant controversy regarding species assignment in the tick-borne encephalitis virus complex due to the complex phylogenetic, serological, ecological, and pathogenetic properties of viruses. Comparing the rate of non-synonymous to synonymous substitutions (dN/dS) over the course of tick-borne orthoflavivirus diversification suggests that there is a very strong stabilizing selection (Nei-Gojobori dN/dS &lt; 0.1) among tick-borne orthoflaviviruses that differ by less than 13.5% amino acid/21.4% nucleotide sequences, and discretely more rapid accumulation of non-synonymous substitutions (dN/dS &gt; 0.13) among more divergent viruses that belong to distinct species. This pattern was similarly observed in genome regions encoding structural (E) and non-structural (NS3) proteins. Below this distance threshold, viruses appear fit and strongly tied to their ecological niche, whereas above the threshold, a greater degree of adaptation appears necessary. This species criterion suggests that all subtypes of TBEV, all related ovine/caprine encephalomyelitis viruses, and Omsk hemorrhagic fever virus (OHFV) together correspond to a single species. Within this species, viruses make up 11 subtypes that are reliably segregated by a 10% nucleotide distance cut-off suggested earlier for TBEV. The same 10% subtype cut-off suggests that Powassan virus includes two subtypes, Powassan and Deer Tick virus.","author":[{"dropping-particle":"","family":"Deviatkin","given":"Andrei A","non-dropping-particle":"","parse-names":false,"suffix":""},{"dropping-particle":"","family":"Aleshina","given":"Yulia A","non-dropping-particle":"","parse-names":false,"suffix":""},{"dropping-particle":"","family":"Karganova","given":"Galina G","non-dropping-particle":"","parse-names":false,"suffix":""},{"dropping-particle":"","family":"Lukashev","given":"Alexander N","non-dropping-particle":"","parse-names":false,"suffix":""}],"container-title":"Viruses","id":"ITEM-1","issue":"10","issued":{"date-parts":[["2024","9","30"]]},"page":"1554","title":"Selection Pressure Profile Suggests Species Criteria among Tick-Borne Orthoflaviviruses","type":"article-journal","volume":"16"},"uris":["http://www.mendeley.com/documents/?uuid=3ce1ce96-6ba7-42f2-884a-f00f15a74e55"]}],"mendeley":{"formattedCitation":"[13]","plainTextFormattedCitation":"[13]","previouslyFormattedCitation":"[13]"},"properties":{"noteIndex":0},"schema":"https://github.com/citation-style-language/schema/raw/master/csl-citation.json"}</w:instrText>
            </w:r>
            <w:r w:rsidRPr="00373798">
              <w:rPr>
                <w:rFonts w:ascii="Aptos" w:hAnsi="Aptos" w:cs="Arial"/>
                <w:sz w:val="20"/>
                <w:szCs w:val="20"/>
              </w:rPr>
              <w:fldChar w:fldCharType="separate"/>
            </w:r>
            <w:r w:rsidRPr="00373798">
              <w:rPr>
                <w:rFonts w:ascii="Aptos" w:hAnsi="Aptos" w:cs="Arial"/>
                <w:noProof/>
                <w:sz w:val="20"/>
                <w:szCs w:val="20"/>
              </w:rPr>
              <w:t>[13]</w:t>
            </w:r>
            <w:r w:rsidRPr="00373798">
              <w:rPr>
                <w:rFonts w:ascii="Aptos" w:hAnsi="Aptos" w:cs="Arial"/>
                <w:sz w:val="20"/>
                <w:szCs w:val="20"/>
              </w:rPr>
              <w:fldChar w:fldCharType="end"/>
            </w:r>
            <w:r w:rsidRPr="00373798">
              <w:rPr>
                <w:rFonts w:ascii="Aptos" w:hAnsi="Aptos" w:cs="Arial"/>
                <w:sz w:val="20"/>
                <w:szCs w:val="20"/>
              </w:rPr>
              <w:t xml:space="preserve">. This biphasic pattern is reproducible across independent genome regions (E and NS3) and is robust to the choice of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algorithm. </w:t>
            </w:r>
          </w:p>
          <w:p w14:paraId="74A81AD8" w14:textId="3A2B60D4" w:rsidR="00266B21" w:rsidRPr="00373798" w:rsidRDefault="00266B21" w:rsidP="00266B21">
            <w:pPr>
              <w:rPr>
                <w:rFonts w:ascii="Aptos" w:hAnsi="Aptos" w:cs="Arial"/>
                <w:sz w:val="20"/>
                <w:szCs w:val="20"/>
              </w:rPr>
            </w:pPr>
            <w:r w:rsidRPr="00373798">
              <w:rPr>
                <w:rFonts w:ascii="Aptos" w:hAnsi="Aptos" w:cs="Arial"/>
                <w:sz w:val="20"/>
                <w:szCs w:val="20"/>
              </w:rPr>
              <w:t xml:space="preserve">Within the species, the eleven </w:t>
            </w:r>
            <w:proofErr w:type="spellStart"/>
            <w:r w:rsidR="00736436">
              <w:rPr>
                <w:rFonts w:ascii="Aptos" w:hAnsi="Aptos" w:cs="Arial"/>
                <w:sz w:val="20"/>
                <w:szCs w:val="20"/>
              </w:rPr>
              <w:t>subspecies</w:t>
            </w:r>
            <w:r w:rsidRPr="00373798">
              <w:rPr>
                <w:rFonts w:ascii="Aptos" w:hAnsi="Aptos" w:cs="Arial"/>
                <w:sz w:val="20"/>
                <w:szCs w:val="20"/>
              </w:rPr>
              <w:t>s</w:t>
            </w:r>
            <w:proofErr w:type="spellEnd"/>
            <w:r w:rsidRPr="00373798">
              <w:rPr>
                <w:rFonts w:ascii="Aptos" w:hAnsi="Aptos" w:cs="Arial"/>
                <w:sz w:val="20"/>
                <w:szCs w:val="20"/>
              </w:rPr>
              <w:t xml:space="preserve"> are delineated by a uniform 10% nucleotide sequence cut</w:t>
            </w:r>
            <w:r w:rsidRPr="00373798">
              <w:rPr>
                <w:rFonts w:ascii="Cambria Math" w:hAnsi="Cambria Math" w:cs="Cambria Math"/>
                <w:sz w:val="20"/>
                <w:szCs w:val="20"/>
              </w:rPr>
              <w:t>‑</w:t>
            </w:r>
            <w:r w:rsidRPr="00373798">
              <w:rPr>
                <w:rFonts w:ascii="Aptos" w:hAnsi="Aptos" w:cs="Arial"/>
                <w:sz w:val="20"/>
                <w:szCs w:val="20"/>
              </w:rPr>
              <w:t xml:space="preserve">off over the whole ORF </w:t>
            </w:r>
            <w:r w:rsidR="001E298D" w:rsidRPr="00373798">
              <w:rPr>
                <w:rFonts w:ascii="Aptos" w:hAnsi="Aptos" w:cs="Calibri"/>
                <w:sz w:val="20"/>
                <w:szCs w:val="20"/>
              </w:rPr>
              <w:t>-</w:t>
            </w:r>
            <w:r w:rsidRPr="00373798">
              <w:rPr>
                <w:rFonts w:ascii="Aptos" w:hAnsi="Aptos" w:cs="Arial"/>
                <w:sz w:val="20"/>
                <w:szCs w:val="20"/>
              </w:rPr>
              <w:t xml:space="preserve"> a threshold first established for TBEV </w:t>
            </w:r>
            <w:proofErr w:type="spellStart"/>
            <w:r w:rsidRPr="00373798">
              <w:rPr>
                <w:rFonts w:ascii="Aptos" w:hAnsi="Aptos" w:cs="Arial"/>
                <w:sz w:val="20"/>
                <w:szCs w:val="20"/>
              </w:rPr>
              <w:t>sensu</w:t>
            </w:r>
            <w:proofErr w:type="spellEnd"/>
            <w:r w:rsidRPr="00373798">
              <w:rPr>
                <w:rFonts w:ascii="Aptos" w:hAnsi="Aptos" w:cs="Arial"/>
                <w:sz w:val="20"/>
                <w:szCs w:val="20"/>
              </w:rPr>
              <w:t xml:space="preserve"> </w:t>
            </w:r>
            <w:proofErr w:type="spellStart"/>
            <w:r w:rsidRPr="00373798">
              <w:rPr>
                <w:rFonts w:ascii="Aptos" w:hAnsi="Aptos" w:cs="Arial"/>
                <w:sz w:val="20"/>
                <w:szCs w:val="20"/>
              </w:rPr>
              <w:t>stricto</w:t>
            </w:r>
            <w:proofErr w:type="spellEnd"/>
            <w:r w:rsidRPr="00373798">
              <w:rPr>
                <w:rFonts w:ascii="Aptos" w:hAnsi="Aptos" w:cs="Arial"/>
                <w:sz w:val="20"/>
                <w:szCs w:val="20"/>
              </w:rPr>
              <w:t xml:space="preserve"> </w:t>
            </w:r>
            <w:r w:rsidR="001E298D" w:rsidRPr="00373798">
              <w:rPr>
                <w:rFonts w:ascii="Aptos" w:hAnsi="Aptos" w:cs="Arial"/>
                <w:sz w:val="20"/>
                <w:szCs w:val="20"/>
              </w:rPr>
              <w:fldChar w:fldCharType="begin" w:fldLock="1"/>
            </w:r>
            <w:r w:rsidR="005961F4" w:rsidRPr="00373798">
              <w:rPr>
                <w:rFonts w:ascii="Aptos" w:hAnsi="Aptos" w:cs="Arial"/>
                <w:sz w:val="20"/>
                <w:szCs w:val="20"/>
              </w:rPr>
              <w:instrText>ADDIN CSL_CITATION {"citationItems":[{"id":"ITEM-1","itemData":{"DOI":"10.3390/v12111240","ISSN":"1999-4915","abstract":"Currently, the lowest formal taxon in virus classification is species; however, unofficial lower-level units are commonly used in everyday work. Tick-borne encephalitis virus (TBEV) is a species of mammalian tick-borne flaviviruses that may cause encephalitis. Many known representatives of TBEV are grouped into subtypes, mostly according to their phylogenetic relationship. However, the emergence of novel sequences could dissolve this phylogenetic grouping; in the absence of strict quantitative criterion, it may be hard to define the borders of the first TBEV taxonomic unit below the species level. In this study, the nucleotide/amino-acid space of all known TBEV sequences was analyzed. Amino-acid sequence p-distances could not reliably distinguish TBEV subtypes. Viruses that differed by less than 10% of nucleotides in the polyprotein-coding gene belonged to the same subtype. At the same time, more divergent viruses were representatives of different subtypes. According to this distance criterion, TBEV species may be divided into seven subtypes: TBEV-Eur, TBEV-Sib, TBEV-FE, TBEV-2871 (TBEV-Ob), TBEV-Him, TBEV-178-79 (TBEV-Bkl-1), and TBEV-886-84 (TBEV-Bkl-2).","author":[{"dropping-particle":"","family":"Deviatkin","given":"Andrei A","non-dropping-particle":"","parse-names":false,"suffix":""},{"dropping-particle":"","family":"Karganova","given":"Galina G","non-dropping-particle":"","parse-names":false,"suffix":""},{"dropping-particle":"","family":"Vakulenko","given":"Yulia A","non-dropping-particle":"","parse-names":false,"suffix":""},{"dropping-particle":"","family":"Lukashev","given":"Alexander N","non-dropping-particle":"","parse-names":false,"suffix":""}],"container-title":"Viruses","id":"ITEM-1","issue":"11","issued":{"date-parts":[["2020","10","31"]]},"page":"1240","title":"TBEV Subtyping in Terms of Genetic Distance","type":"article-journal","volume":"12"},"uris":["http://www.mendeley.com/documents/?uuid=68091133-109e-4f73-80be-ae81459fdc4b"]}],"mendeley":{"formattedCitation":"[1]","plainTextFormattedCitation":"[1]","previouslyFormattedCitation":"[1]"},"properties":{"noteIndex":0},"schema":"https://github.com/citation-style-language/schema/raw/master/csl-citation.json"}</w:instrText>
            </w:r>
            <w:r w:rsidR="001E298D" w:rsidRPr="00373798">
              <w:rPr>
                <w:rFonts w:ascii="Aptos" w:hAnsi="Aptos" w:cs="Arial"/>
                <w:sz w:val="20"/>
                <w:szCs w:val="20"/>
              </w:rPr>
              <w:fldChar w:fldCharType="separate"/>
            </w:r>
            <w:r w:rsidR="001E298D" w:rsidRPr="00373798">
              <w:rPr>
                <w:rFonts w:ascii="Aptos" w:hAnsi="Aptos" w:cs="Arial"/>
                <w:noProof/>
                <w:sz w:val="20"/>
                <w:szCs w:val="20"/>
              </w:rPr>
              <w:t>[1]</w:t>
            </w:r>
            <w:r w:rsidR="001E298D" w:rsidRPr="00373798">
              <w:rPr>
                <w:rFonts w:ascii="Aptos" w:hAnsi="Aptos" w:cs="Arial"/>
                <w:sz w:val="20"/>
                <w:szCs w:val="20"/>
              </w:rPr>
              <w:fldChar w:fldCharType="end"/>
            </w:r>
            <w:r w:rsidRPr="00373798">
              <w:rPr>
                <w:rFonts w:ascii="Aptos" w:hAnsi="Aptos" w:cs="Arial"/>
                <w:sz w:val="20"/>
                <w:szCs w:val="20"/>
              </w:rPr>
              <w:t xml:space="preserve"> </w:t>
            </w:r>
            <w:r w:rsidR="00234D98" w:rsidRPr="00373798">
              <w:rPr>
                <w:rFonts w:ascii="Aptos" w:hAnsi="Aptos" w:cs="Arial"/>
                <w:sz w:val="20"/>
                <w:szCs w:val="20"/>
              </w:rPr>
              <w:t xml:space="preserve">and </w:t>
            </w:r>
            <w:r w:rsidR="000F5339" w:rsidRPr="00373798">
              <w:rPr>
                <w:rFonts w:ascii="Aptos" w:hAnsi="Aptos" w:cs="Arial"/>
                <w:sz w:val="20"/>
                <w:szCs w:val="20"/>
              </w:rPr>
              <w:t xml:space="preserve">proposed as a universal </w:t>
            </w:r>
            <w:r w:rsidR="00736436">
              <w:rPr>
                <w:rFonts w:ascii="Aptos" w:hAnsi="Aptos" w:cs="Arial"/>
                <w:sz w:val="20"/>
                <w:szCs w:val="20"/>
              </w:rPr>
              <w:t>subspecies</w:t>
            </w:r>
            <w:r w:rsidR="000F5339" w:rsidRPr="00373798">
              <w:rPr>
                <w:rFonts w:ascii="Aptos" w:hAnsi="Aptos" w:cs="Arial"/>
                <w:sz w:val="20"/>
                <w:szCs w:val="20"/>
              </w:rPr>
              <w:t xml:space="preserve"> delineation criterion for tick</w:t>
            </w:r>
            <w:r w:rsidR="000F5339" w:rsidRPr="00373798">
              <w:rPr>
                <w:rFonts w:ascii="Cambria Math" w:hAnsi="Cambria Math" w:cs="Cambria Math"/>
                <w:sz w:val="20"/>
                <w:szCs w:val="20"/>
              </w:rPr>
              <w:t>‑</w:t>
            </w:r>
            <w:r w:rsidR="000F5339" w:rsidRPr="00373798">
              <w:rPr>
                <w:rFonts w:ascii="Aptos" w:hAnsi="Aptos" w:cs="Arial"/>
                <w:sz w:val="20"/>
                <w:szCs w:val="20"/>
              </w:rPr>
              <w:t xml:space="preserve">borne orthoflaviviruses </w:t>
            </w:r>
            <w:r w:rsidR="00234D98" w:rsidRPr="00373798">
              <w:rPr>
                <w:rFonts w:ascii="Aptos" w:hAnsi="Aptos" w:cs="Arial"/>
                <w:sz w:val="20"/>
                <w:szCs w:val="20"/>
              </w:rPr>
              <w:fldChar w:fldCharType="begin" w:fldLock="1"/>
            </w:r>
            <w:r w:rsidR="00234D98" w:rsidRPr="00373798">
              <w:rPr>
                <w:rFonts w:ascii="Aptos" w:hAnsi="Aptos" w:cs="Arial"/>
                <w:sz w:val="20"/>
                <w:szCs w:val="20"/>
              </w:rPr>
              <w:instrText>ADDIN CSL_CITATION {"citationItems":[{"id":"ITEM-1","itemData":{"DOI":"10.3390/v16101554","ISSN":"1999-4915","abstract":"Orthoflaviviruses are arthropod-borne viruses that are transmitted by mosquitoes or ticks and cause a range of significant human diseases. Among the most important tick-borne orthoflaviviruses (TBFVs) is tick-borne encephalitis virus (TBEV), which is endemic in Eurasia, and Powassan virus, which is endemic in Asia and North America. There is a significant controversy regarding species assignment in the tick-borne encephalitis virus complex due to the complex phylogenetic, serological, ecological, and pathogenetic properties of viruses. Comparing the rate of non-synonymous to synonymous substitutions (dN/dS) over the course of tick-borne orthoflavivirus diversification suggests that there is a very strong stabilizing selection (Nei-Gojobori dN/dS &lt; 0.1) among tick-borne orthoflaviviruses that differ by less than 13.5% amino acid/21.4% nucleotide sequences, and discretely more rapid accumulation of non-synonymous substitutions (dN/dS &gt; 0.13) among more divergent viruses that belong to distinct species. This pattern was similarly observed in genome regions encoding structural (E) and non-structural (NS3) proteins. Below this distance threshold, viruses appear fit and strongly tied to their ecological niche, whereas above the threshold, a greater degree of adaptation appears necessary. This species criterion suggests that all subtypes of TBEV, all related ovine/caprine encephalomyelitis viruses, and Omsk hemorrhagic fever virus (OHFV) together correspond to a single species. Within this species, viruses make up 11 subtypes that are reliably segregated by a 10% nucleotide distance cut-off suggested earlier for TBEV. The same 10% subtype cut-off suggests that Powassan virus includes two subtypes, Powassan and Deer Tick virus.","author":[{"dropping-particle":"","family":"Deviatkin","given":"Andrei A","non-dropping-particle":"","parse-names":false,"suffix":""},{"dropping-particle":"","family":"Aleshina","given":"Yulia A","non-dropping-particle":"","parse-names":false,"suffix":""},{"dropping-particle":"","family":"Karganova","given":"Galina G","non-dropping-particle":"","parse-names":false,"suffix":""},{"dropping-particle":"","family":"Lukashev","given":"Alexander N","non-dropping-particle":"","parse-names":false,"suffix":""}],"container-title":"Viruses","id":"ITEM-1","issue":"10","issued":{"date-parts":[["2024","9","30"]]},"page":"1554","title":"Selection Pressure Profile Suggests Species Criteria among Tick-Borne Orthoflaviviruses","type":"article-journal","volume":"16"},"uris":["http://www.mendeley.com/documents/?uuid=3ce1ce96-6ba7-42f2-884a-f00f15a74e55"]}],"mendeley":{"formattedCitation":"[13]","plainTextFormattedCitation":"[13]"},"properties":{"noteIndex":0},"schema":"https://github.com/citation-style-language/schema/raw/master/csl-citation.json"}</w:instrText>
            </w:r>
            <w:r w:rsidR="00234D98" w:rsidRPr="00373798">
              <w:rPr>
                <w:rFonts w:ascii="Aptos" w:hAnsi="Aptos" w:cs="Arial"/>
                <w:sz w:val="20"/>
                <w:szCs w:val="20"/>
              </w:rPr>
              <w:fldChar w:fldCharType="separate"/>
            </w:r>
            <w:r w:rsidR="00234D98" w:rsidRPr="00373798">
              <w:rPr>
                <w:rFonts w:ascii="Aptos" w:hAnsi="Aptos" w:cs="Arial"/>
                <w:noProof/>
                <w:sz w:val="20"/>
                <w:szCs w:val="20"/>
              </w:rPr>
              <w:t>[13]</w:t>
            </w:r>
            <w:r w:rsidR="00234D98" w:rsidRPr="00373798">
              <w:rPr>
                <w:rFonts w:ascii="Aptos" w:hAnsi="Aptos" w:cs="Arial"/>
                <w:sz w:val="20"/>
                <w:szCs w:val="20"/>
              </w:rPr>
              <w:fldChar w:fldCharType="end"/>
            </w:r>
            <w:r w:rsidRPr="00373798">
              <w:rPr>
                <w:rFonts w:ascii="Aptos" w:hAnsi="Aptos" w:cs="Arial"/>
                <w:sz w:val="20"/>
                <w:szCs w:val="20"/>
              </w:rPr>
              <w:t>. The framework thus satisfies the ICTV requirement for sequence</w:t>
            </w:r>
            <w:r w:rsidRPr="00373798">
              <w:rPr>
                <w:rFonts w:ascii="Cambria Math" w:hAnsi="Cambria Math" w:cs="Cambria Math"/>
                <w:sz w:val="20"/>
                <w:szCs w:val="20"/>
              </w:rPr>
              <w:t>‑</w:t>
            </w:r>
            <w:r w:rsidRPr="00373798">
              <w:rPr>
                <w:rFonts w:ascii="Aptos" w:hAnsi="Aptos" w:cs="Arial"/>
                <w:sz w:val="20"/>
                <w:szCs w:val="20"/>
              </w:rPr>
              <w:t xml:space="preserve">based evidence in a transparent, quantitative manner. Based on this criterion, we propose unification of species </w:t>
            </w:r>
            <w:r w:rsidRPr="00743BA1">
              <w:rPr>
                <w:rFonts w:ascii="Aptos" w:hAnsi="Aptos" w:cs="Arial"/>
                <w:i/>
                <w:iCs/>
                <w:sz w:val="20"/>
                <w:szCs w:val="20"/>
              </w:rPr>
              <w:t xml:space="preserve">Orthoflavivirus </w:t>
            </w:r>
            <w:proofErr w:type="spellStart"/>
            <w:r w:rsidRPr="00743BA1">
              <w:rPr>
                <w:rFonts w:ascii="Aptos" w:hAnsi="Aptos" w:cs="Arial"/>
                <w:i/>
                <w:iCs/>
                <w:sz w:val="20"/>
                <w:szCs w:val="20"/>
              </w:rPr>
              <w:t>neudoerflense</w:t>
            </w:r>
            <w:proofErr w:type="spellEnd"/>
            <w:r w:rsidRPr="00743BA1">
              <w:rPr>
                <w:rFonts w:ascii="Aptos" w:hAnsi="Aptos" w:cs="Arial"/>
                <w:i/>
                <w:iCs/>
                <w:sz w:val="20"/>
                <w:szCs w:val="20"/>
              </w:rPr>
              <w:t xml:space="preserve"> </w:t>
            </w:r>
            <w:r w:rsidRPr="00373798">
              <w:rPr>
                <w:rFonts w:ascii="Aptos" w:hAnsi="Aptos" w:cs="Arial"/>
                <w:sz w:val="20"/>
                <w:szCs w:val="20"/>
              </w:rPr>
              <w:t xml:space="preserve">(European subtype of TBEV), </w:t>
            </w:r>
            <w:r w:rsidRPr="00743BA1">
              <w:rPr>
                <w:rFonts w:ascii="Aptos" w:hAnsi="Aptos" w:cs="Arial"/>
                <w:i/>
                <w:iCs/>
                <w:sz w:val="20"/>
                <w:szCs w:val="20"/>
              </w:rPr>
              <w:t xml:space="preserve">Orthoflavivirus </w:t>
            </w:r>
            <w:proofErr w:type="spellStart"/>
            <w:r w:rsidRPr="00743BA1">
              <w:rPr>
                <w:rFonts w:ascii="Aptos" w:hAnsi="Aptos" w:cs="Arial"/>
                <w:i/>
                <w:iCs/>
                <w:sz w:val="20"/>
                <w:szCs w:val="20"/>
              </w:rPr>
              <w:t>zilberi</w:t>
            </w:r>
            <w:proofErr w:type="spellEnd"/>
            <w:r w:rsidRPr="00743BA1">
              <w:rPr>
                <w:rFonts w:ascii="Aptos" w:hAnsi="Aptos" w:cs="Arial"/>
                <w:i/>
                <w:iCs/>
                <w:sz w:val="20"/>
                <w:szCs w:val="20"/>
              </w:rPr>
              <w:t xml:space="preserve"> </w:t>
            </w:r>
            <w:r w:rsidRPr="00373798">
              <w:rPr>
                <w:rFonts w:ascii="Aptos" w:hAnsi="Aptos" w:cs="Arial"/>
                <w:sz w:val="20"/>
                <w:szCs w:val="20"/>
              </w:rPr>
              <w:t>(Far</w:t>
            </w:r>
            <w:r w:rsidRPr="00373798">
              <w:rPr>
                <w:rFonts w:ascii="Cambria Math" w:hAnsi="Cambria Math" w:cs="Cambria Math"/>
                <w:sz w:val="20"/>
                <w:szCs w:val="20"/>
              </w:rPr>
              <w:t>‑</w:t>
            </w:r>
            <w:r w:rsidRPr="00373798">
              <w:rPr>
                <w:rFonts w:ascii="Aptos" w:hAnsi="Aptos" w:cs="Arial"/>
                <w:sz w:val="20"/>
                <w:szCs w:val="20"/>
              </w:rPr>
              <w:t xml:space="preserve">Eastern, Siberian, two </w:t>
            </w:r>
            <w:proofErr w:type="spellStart"/>
            <w:r w:rsidRPr="00373798">
              <w:rPr>
                <w:rFonts w:ascii="Aptos" w:hAnsi="Aptos" w:cs="Arial"/>
                <w:sz w:val="20"/>
                <w:szCs w:val="20"/>
              </w:rPr>
              <w:t>Baikalian</w:t>
            </w:r>
            <w:proofErr w:type="spellEnd"/>
            <w:r w:rsidRPr="00373798">
              <w:rPr>
                <w:rFonts w:ascii="Aptos" w:hAnsi="Aptos" w:cs="Arial"/>
                <w:sz w:val="20"/>
                <w:szCs w:val="20"/>
              </w:rPr>
              <w:t xml:space="preserve">, and Himalayan subtypes), Orthoflavivirus </w:t>
            </w:r>
            <w:proofErr w:type="spellStart"/>
            <w:r w:rsidRPr="00373798">
              <w:rPr>
                <w:rFonts w:ascii="Aptos" w:hAnsi="Aptos" w:cs="Arial"/>
                <w:sz w:val="20"/>
                <w:szCs w:val="20"/>
              </w:rPr>
              <w:t>loupingi</w:t>
            </w:r>
            <w:proofErr w:type="spellEnd"/>
            <w:r w:rsidRPr="00373798">
              <w:rPr>
                <w:rFonts w:ascii="Aptos" w:hAnsi="Aptos" w:cs="Arial"/>
                <w:sz w:val="20"/>
                <w:szCs w:val="20"/>
              </w:rPr>
              <w:t xml:space="preserve"> (</w:t>
            </w:r>
            <w:proofErr w:type="spellStart"/>
            <w:r w:rsidRPr="00373798">
              <w:rPr>
                <w:rFonts w:ascii="Aptos" w:hAnsi="Aptos" w:cs="Arial"/>
                <w:sz w:val="20"/>
                <w:szCs w:val="20"/>
              </w:rPr>
              <w:t>louping</w:t>
            </w:r>
            <w:proofErr w:type="spellEnd"/>
            <w:r w:rsidRPr="00373798">
              <w:rPr>
                <w:rFonts w:ascii="Aptos" w:hAnsi="Aptos" w:cs="Arial"/>
                <w:sz w:val="20"/>
                <w:szCs w:val="20"/>
              </w:rPr>
              <w:t xml:space="preserve"> ill virus, SGEV, and SSEV), </w:t>
            </w:r>
            <w:r w:rsidRPr="00743BA1">
              <w:rPr>
                <w:rFonts w:ascii="Aptos" w:hAnsi="Aptos" w:cs="Arial"/>
                <w:i/>
                <w:iCs/>
                <w:sz w:val="20"/>
                <w:szCs w:val="20"/>
              </w:rPr>
              <w:t xml:space="preserve">Orthoflavivirus </w:t>
            </w:r>
            <w:proofErr w:type="spellStart"/>
            <w:r w:rsidRPr="00743BA1">
              <w:rPr>
                <w:rFonts w:ascii="Aptos" w:hAnsi="Aptos" w:cs="Arial"/>
                <w:i/>
                <w:iCs/>
                <w:sz w:val="20"/>
                <w:szCs w:val="20"/>
              </w:rPr>
              <w:t>mediterranense</w:t>
            </w:r>
            <w:proofErr w:type="spellEnd"/>
            <w:r w:rsidRPr="00743BA1">
              <w:rPr>
                <w:rFonts w:ascii="Aptos" w:hAnsi="Aptos" w:cs="Arial"/>
                <w:i/>
                <w:iCs/>
                <w:sz w:val="20"/>
                <w:szCs w:val="20"/>
              </w:rPr>
              <w:t xml:space="preserve"> </w:t>
            </w:r>
            <w:r w:rsidRPr="00373798">
              <w:rPr>
                <w:rFonts w:ascii="Aptos" w:hAnsi="Aptos" w:cs="Arial"/>
                <w:sz w:val="20"/>
                <w:szCs w:val="20"/>
              </w:rPr>
              <w:t>(TSEV, GGEV)</w:t>
            </w:r>
            <w:r w:rsidR="001E298D" w:rsidRPr="00373798">
              <w:rPr>
                <w:rFonts w:ascii="Aptos" w:hAnsi="Aptos" w:cs="Arial"/>
                <w:sz w:val="20"/>
                <w:szCs w:val="20"/>
              </w:rPr>
              <w:t xml:space="preserve">, and </w:t>
            </w:r>
            <w:r w:rsidR="001E298D" w:rsidRPr="00743BA1">
              <w:rPr>
                <w:rFonts w:ascii="Aptos" w:hAnsi="Aptos" w:cs="Arial"/>
                <w:i/>
                <w:iCs/>
                <w:sz w:val="20"/>
                <w:szCs w:val="20"/>
              </w:rPr>
              <w:t xml:space="preserve">Orthoflavivirus </w:t>
            </w:r>
            <w:proofErr w:type="spellStart"/>
            <w:r w:rsidR="001E298D" w:rsidRPr="00743BA1">
              <w:rPr>
                <w:rFonts w:ascii="Aptos" w:hAnsi="Aptos" w:cs="Arial"/>
                <w:i/>
                <w:iCs/>
                <w:sz w:val="20"/>
                <w:szCs w:val="20"/>
              </w:rPr>
              <w:t>omskense</w:t>
            </w:r>
            <w:proofErr w:type="spellEnd"/>
            <w:r w:rsidRPr="00373798">
              <w:rPr>
                <w:rFonts w:ascii="Aptos" w:hAnsi="Aptos" w:cs="Arial"/>
                <w:sz w:val="20"/>
                <w:szCs w:val="20"/>
              </w:rPr>
              <w:t xml:space="preserve"> into a single species: </w:t>
            </w:r>
            <w:r w:rsidRPr="00743BA1">
              <w:rPr>
                <w:rFonts w:ascii="Aptos" w:hAnsi="Aptos" w:cs="Arial"/>
                <w:i/>
                <w:iCs/>
                <w:sz w:val="20"/>
                <w:szCs w:val="20"/>
              </w:rPr>
              <w:t xml:space="preserve">Orthoflavivirus </w:t>
            </w:r>
            <w:proofErr w:type="spellStart"/>
            <w:r w:rsidRPr="00743BA1">
              <w:rPr>
                <w:rFonts w:ascii="Aptos" w:hAnsi="Aptos" w:cs="Arial"/>
                <w:i/>
                <w:iCs/>
                <w:sz w:val="20"/>
                <w:szCs w:val="20"/>
              </w:rPr>
              <w:t>eurasiaticus</w:t>
            </w:r>
            <w:proofErr w:type="spellEnd"/>
            <w:r w:rsidRPr="00373798">
              <w:rPr>
                <w:rFonts w:ascii="Aptos" w:hAnsi="Aptos" w:cs="Arial"/>
                <w:sz w:val="20"/>
                <w:szCs w:val="20"/>
              </w:rPr>
              <w:t>.</w:t>
            </w:r>
          </w:p>
          <w:p w14:paraId="0F439E21" w14:textId="3D5FF64E" w:rsidR="003F7048" w:rsidRDefault="00DD489D" w:rsidP="00C11BF2">
            <w:pPr>
              <w:rPr>
                <w:rFonts w:ascii="Aptos" w:hAnsi="Aptos" w:cs="Arial"/>
                <w:sz w:val="20"/>
                <w:szCs w:val="20"/>
              </w:rPr>
            </w:pPr>
            <w:r w:rsidRPr="00373798">
              <w:rPr>
                <w:rFonts w:ascii="Aptos" w:hAnsi="Aptos" w:cs="Arial"/>
                <w:sz w:val="20"/>
                <w:szCs w:val="20"/>
              </w:rPr>
              <w:t xml:space="preserve">All sequence divergence values presented in this proposal refer to uncorrected pairwise distances calculated from complete polyprotein sequences. Amino acid divergence values may differ depending on the distance estimation </w:t>
            </w:r>
            <w:r w:rsidR="00541A4D">
              <w:rPr>
                <w:rFonts w:ascii="Aptos" w:hAnsi="Aptos" w:cs="Arial"/>
                <w:sz w:val="20"/>
                <w:szCs w:val="20"/>
              </w:rPr>
              <w:t>method</w:t>
            </w:r>
            <w:r w:rsidRPr="00373798">
              <w:rPr>
                <w:rFonts w:ascii="Aptos" w:hAnsi="Aptos" w:cs="Arial"/>
                <w:sz w:val="20"/>
                <w:szCs w:val="20"/>
              </w:rPr>
              <w:t xml:space="preserve">: uncorrected pairwise distances </w:t>
            </w:r>
            <w:r w:rsidR="00541A4D">
              <w:rPr>
                <w:rFonts w:ascii="Aptos" w:hAnsi="Aptos" w:cs="Arial"/>
                <w:sz w:val="20"/>
                <w:szCs w:val="20"/>
              </w:rPr>
              <w:t>suggest</w:t>
            </w:r>
            <w:r w:rsidR="00541A4D" w:rsidRPr="00373798">
              <w:rPr>
                <w:rFonts w:ascii="Aptos" w:hAnsi="Aptos" w:cs="Arial"/>
                <w:sz w:val="20"/>
                <w:szCs w:val="20"/>
              </w:rPr>
              <w:t xml:space="preserve"> </w:t>
            </w:r>
            <w:r w:rsidRPr="00373798">
              <w:rPr>
                <w:rFonts w:ascii="Aptos" w:hAnsi="Aptos" w:cs="Arial"/>
                <w:sz w:val="20"/>
                <w:szCs w:val="20"/>
              </w:rPr>
              <w:t>a separation range</w:t>
            </w:r>
            <w:r w:rsidR="00541A4D">
              <w:rPr>
                <w:rFonts w:ascii="Aptos" w:hAnsi="Aptos" w:cs="Arial"/>
                <w:sz w:val="20"/>
                <w:szCs w:val="20"/>
              </w:rPr>
              <w:t xml:space="preserve"> between inter- and intra-species genetic distances</w:t>
            </w:r>
            <w:r w:rsidRPr="00373798">
              <w:rPr>
                <w:rFonts w:ascii="Aptos" w:hAnsi="Aptos" w:cs="Arial"/>
                <w:sz w:val="20"/>
                <w:szCs w:val="20"/>
              </w:rPr>
              <w:t xml:space="preserve"> of </w:t>
            </w:r>
            <w:r w:rsidR="00234039" w:rsidRPr="00373798">
              <w:rPr>
                <w:rFonts w:ascii="Aptos" w:hAnsi="Aptos" w:cs="Arial"/>
                <w:sz w:val="20"/>
                <w:szCs w:val="20"/>
              </w:rPr>
              <w:t>12.3–15.1%</w:t>
            </w:r>
            <w:r w:rsidRPr="00373798">
              <w:rPr>
                <w:rFonts w:ascii="Aptos" w:hAnsi="Aptos" w:cs="Arial"/>
                <w:sz w:val="20"/>
                <w:szCs w:val="20"/>
              </w:rPr>
              <w:t xml:space="preserve">, whereas amino acid distances </w:t>
            </w:r>
            <w:r w:rsidR="00124B4C" w:rsidRPr="00373798">
              <w:rPr>
                <w:rFonts w:ascii="Aptos" w:hAnsi="Aptos" w:cs="Arial"/>
                <w:sz w:val="20"/>
                <w:szCs w:val="20"/>
              </w:rPr>
              <w:t xml:space="preserve">estimated using the BLOSUM62 substitution model </w:t>
            </w:r>
            <w:r w:rsidRPr="00373798">
              <w:rPr>
                <w:rFonts w:ascii="Aptos" w:hAnsi="Aptos" w:cs="Arial"/>
                <w:sz w:val="20"/>
                <w:szCs w:val="20"/>
              </w:rPr>
              <w:t xml:space="preserve">yield a corresponding range of </w:t>
            </w:r>
            <w:r w:rsidR="00234039" w:rsidRPr="00373798">
              <w:rPr>
                <w:rFonts w:ascii="Aptos" w:hAnsi="Aptos" w:cs="Arial"/>
                <w:sz w:val="20"/>
                <w:szCs w:val="20"/>
              </w:rPr>
              <w:t xml:space="preserve">13.5–16.7%. </w:t>
            </w:r>
            <w:r w:rsidRPr="00373798">
              <w:rPr>
                <w:rFonts w:ascii="Aptos" w:hAnsi="Aptos" w:cs="Arial"/>
                <w:sz w:val="20"/>
                <w:szCs w:val="20"/>
              </w:rPr>
              <w:t xml:space="preserve">Importantly, both approaches reveal the same discontinuity between intra- and interspecific comparisons, although the absolute values differ due to the correction procedure. The values used here correspond to the methodology applied for </w:t>
            </w:r>
            <w:r w:rsidR="00E825D9" w:rsidRPr="00373798">
              <w:rPr>
                <w:rFonts w:ascii="Aptos" w:hAnsi="Aptos" w:cs="Arial"/>
                <w:sz w:val="20"/>
                <w:szCs w:val="20"/>
              </w:rPr>
              <w:t xml:space="preserve">Figure 1 of </w:t>
            </w:r>
            <w:r w:rsidRPr="00373798">
              <w:rPr>
                <w:rFonts w:ascii="Aptos" w:hAnsi="Aptos" w:cs="Arial"/>
                <w:sz w:val="20"/>
                <w:szCs w:val="20"/>
              </w:rPr>
              <w:t xml:space="preserve">the original study </w:t>
            </w:r>
            <w:r w:rsidR="003F7048" w:rsidRPr="00373798">
              <w:rPr>
                <w:rFonts w:ascii="Aptos" w:hAnsi="Aptos" w:cs="Arial"/>
                <w:sz w:val="20"/>
                <w:szCs w:val="20"/>
              </w:rPr>
              <w:fldChar w:fldCharType="begin" w:fldLock="1"/>
            </w:r>
            <w:r w:rsidR="00912F61" w:rsidRPr="00373798">
              <w:rPr>
                <w:rFonts w:ascii="Aptos" w:hAnsi="Aptos" w:cs="Arial"/>
                <w:sz w:val="20"/>
                <w:szCs w:val="20"/>
              </w:rPr>
              <w:instrText>ADDIN CSL_CITATION {"citationItems":[{"id":"ITEM-1","itemData":{"DOI":"10.3390/v16101554","ISSN":"1999-4915","abstract":"Orthoflaviviruses are arthropod-borne viruses that are transmitted by mosquitoes or ticks and cause a range of significant human diseases. Among the most important tick-borne orthoflaviviruses (TBFVs) is tick-borne encephalitis virus (TBEV), which is endemic in Eurasia, and Powassan virus, which is endemic in Asia and North America. There is a significant controversy regarding species assignment in the tick-borne encephalitis virus complex due to the complex phylogenetic, serological, ecological, and pathogenetic properties of viruses. Comparing the rate of non-synonymous to synonymous substitutions (dN/dS) over the course of tick-borne orthoflavivirus diversification suggests that there is a very strong stabilizing selection (Nei-Gojobori dN/dS &lt; 0.1) among tick-borne orthoflaviviruses that differ by less than 13.5% amino acid/21.4% nucleotide sequences, and discretely more rapid accumulation of non-synonymous substitutions (dN/dS &gt; 0.13) among more divergent viruses that belong to distinct species. This pattern was similarly observed in genome regions encoding structural (E) and non-structural (NS3) proteins. Below this distance threshold, viruses appear fit and strongly tied to their ecological niche, whereas above the threshold, a greater degree of adaptation appears necessary. This species criterion suggests that all subtypes of TBEV, all related ovine/caprine encephalomyelitis viruses, and Omsk hemorrhagic fever virus (OHFV) together correspond to a single species. Within this species, viruses make up 11 subtypes that are reliably segregated by a 10% nucleotide distance cut-off suggested earlier for TBEV. The same 10% subtype cut-off suggests that Powassan virus includes two subtypes, Powassan and Deer Tick virus.","author":[{"dropping-particle":"","family":"Deviatkin","given":"Andrei A","non-dropping-particle":"","parse-names":false,"suffix":""},{"dropping-particle":"","family":"Aleshina","given":"Yulia A","non-dropping-particle":"","parse-names":false,"suffix":""},{"dropping-particle":"","family":"Karganova","given":"Galina G","non-dropping-particle":"","parse-names":false,"suffix":""},{"dropping-particle":"","family":"Lukashev","given":"Alexander N","non-dropping-particle":"","parse-names":false,"suffix":""}],"container-title":"Viruses","id":"ITEM-1","issue":"10","issued":{"date-parts":[["2024","9","30"]]},"page":"1554","title":"Selection Pressure Profile Suggests Species Criteria among Tick-Borne Orthoflaviviruses","type":"article-journal","volume":"16"},"uris":["http://www.mendeley.com/documents/?uuid=3ce1ce96-6ba7-42f2-884a-f00f15a74e55"]}],"mendeley":{"formattedCitation":"[13]","plainTextFormattedCitation":"[13]","previouslyFormattedCitation":"[13]"},"properties":{"noteIndex":0},"schema":"https://github.com/citation-style-language/schema/raw/master/csl-citation.json"}</w:instrText>
            </w:r>
            <w:r w:rsidR="003F7048" w:rsidRPr="00373798">
              <w:rPr>
                <w:rFonts w:ascii="Aptos" w:hAnsi="Aptos" w:cs="Arial"/>
                <w:sz w:val="20"/>
                <w:szCs w:val="20"/>
              </w:rPr>
              <w:fldChar w:fldCharType="separate"/>
            </w:r>
            <w:r w:rsidR="003F7048" w:rsidRPr="00373798">
              <w:rPr>
                <w:rFonts w:ascii="Aptos" w:hAnsi="Aptos" w:cs="Arial"/>
                <w:noProof/>
                <w:sz w:val="20"/>
                <w:szCs w:val="20"/>
              </w:rPr>
              <w:t>[13]</w:t>
            </w:r>
            <w:r w:rsidR="003F7048" w:rsidRPr="00373798">
              <w:rPr>
                <w:rFonts w:ascii="Aptos" w:hAnsi="Aptos" w:cs="Arial"/>
                <w:sz w:val="20"/>
                <w:szCs w:val="20"/>
              </w:rPr>
              <w:fldChar w:fldCharType="end"/>
            </w:r>
            <w:r w:rsidR="00E825D9" w:rsidRPr="00533A6A">
              <w:rPr>
                <w:rFonts w:ascii="Aptos" w:hAnsi="Aptos" w:cs="Arial"/>
                <w:sz w:val="20"/>
                <w:szCs w:val="20"/>
              </w:rPr>
              <w:t xml:space="preserve"> </w:t>
            </w:r>
            <w:r w:rsidR="00E825D9" w:rsidRPr="00373798">
              <w:rPr>
                <w:rFonts w:ascii="Aptos" w:hAnsi="Aptos" w:cs="Arial"/>
                <w:sz w:val="20"/>
                <w:szCs w:val="20"/>
              </w:rPr>
              <w:t>(corresponding to Figure 2 in this proposal)</w:t>
            </w:r>
            <w:r w:rsidR="003F7048" w:rsidRPr="00373798">
              <w:rPr>
                <w:rFonts w:ascii="Aptos" w:hAnsi="Aptos" w:cs="Arial"/>
                <w:sz w:val="20"/>
                <w:szCs w:val="20"/>
              </w:rPr>
              <w:t xml:space="preserve">. </w:t>
            </w:r>
            <w:r w:rsidRPr="00373798">
              <w:rPr>
                <w:rFonts w:ascii="Aptos" w:hAnsi="Aptos" w:cs="Arial"/>
                <w:sz w:val="20"/>
                <w:szCs w:val="20"/>
              </w:rPr>
              <w:t xml:space="preserve">Previously reported distances </w:t>
            </w:r>
            <w:r w:rsidR="00124B4C" w:rsidRPr="00373798">
              <w:rPr>
                <w:rFonts w:ascii="Aptos" w:hAnsi="Aptos" w:cs="Arial"/>
                <w:sz w:val="20"/>
                <w:szCs w:val="20"/>
              </w:rPr>
              <w:t xml:space="preserve">estimated using the BLOSUM62 substitution </w:t>
            </w:r>
            <w:proofErr w:type="gramStart"/>
            <w:r w:rsidR="00124B4C" w:rsidRPr="00373798">
              <w:rPr>
                <w:rFonts w:ascii="Aptos" w:hAnsi="Aptos" w:cs="Arial"/>
                <w:sz w:val="20"/>
                <w:szCs w:val="20"/>
              </w:rPr>
              <w:t xml:space="preserve">model  </w:t>
            </w:r>
            <w:r w:rsidRPr="00373798">
              <w:rPr>
                <w:rFonts w:ascii="Aptos" w:hAnsi="Aptos" w:cs="Arial"/>
                <w:sz w:val="20"/>
                <w:szCs w:val="20"/>
              </w:rPr>
              <w:t>in</w:t>
            </w:r>
            <w:proofErr w:type="gramEnd"/>
            <w:r w:rsidRPr="00373798">
              <w:rPr>
                <w:rFonts w:ascii="Aptos" w:hAnsi="Aptos" w:cs="Arial"/>
                <w:sz w:val="20"/>
                <w:szCs w:val="20"/>
              </w:rPr>
              <w:t xml:space="preserve"> the text of that publication were inconsistent with the methodology described for Figure 1 and will be corrected separately by replacing the values 13.5–16.7% with 12.3–15.1% in a Corrigendum.</w:t>
            </w:r>
          </w:p>
          <w:p w14:paraId="07D0E10E" w14:textId="45CA579B" w:rsidR="00541A4D" w:rsidRPr="00373798" w:rsidRDefault="00541A4D" w:rsidP="00C11BF2">
            <w:pPr>
              <w:rPr>
                <w:rFonts w:ascii="Aptos" w:hAnsi="Aptos" w:cs="Arial"/>
                <w:sz w:val="20"/>
                <w:szCs w:val="20"/>
              </w:rPr>
            </w:pPr>
            <w:r>
              <w:rPr>
                <w:rFonts w:ascii="Aptos" w:hAnsi="Aptos" w:cs="Arial"/>
                <w:sz w:val="20"/>
                <w:szCs w:val="20"/>
              </w:rPr>
              <w:t>Although novel flaviviruses related to TBEV may be discovered in the future, the notable gap between intra- and inter-species distances in the proposed species framework speaks for its robustness in such case.</w:t>
            </w:r>
          </w:p>
          <w:p w14:paraId="545FDE1F" w14:textId="77777777" w:rsidR="001E298D" w:rsidRPr="00373798" w:rsidRDefault="001E298D" w:rsidP="001E298D">
            <w:pPr>
              <w:rPr>
                <w:rFonts w:ascii="Aptos" w:hAnsi="Aptos" w:cs="Arial"/>
                <w:sz w:val="20"/>
                <w:szCs w:val="20"/>
                <w:u w:val="single"/>
              </w:rPr>
            </w:pPr>
            <w:r w:rsidRPr="00373798">
              <w:rPr>
                <w:rFonts w:ascii="Aptos" w:hAnsi="Aptos" w:cs="Arial"/>
                <w:sz w:val="20"/>
                <w:szCs w:val="20"/>
                <w:u w:val="single"/>
              </w:rPr>
              <w:t>3.2 Antigenic characteristics</w:t>
            </w:r>
          </w:p>
          <w:p w14:paraId="2BDE3385" w14:textId="29A38F4D" w:rsidR="001E298D" w:rsidRPr="00373798" w:rsidRDefault="001E298D" w:rsidP="001E298D">
            <w:pPr>
              <w:rPr>
                <w:rFonts w:ascii="Aptos" w:hAnsi="Aptos" w:cs="Arial"/>
                <w:sz w:val="20"/>
                <w:szCs w:val="20"/>
              </w:rPr>
            </w:pPr>
            <w:r w:rsidRPr="00373798">
              <w:rPr>
                <w:rFonts w:ascii="Aptos" w:hAnsi="Aptos" w:cs="Arial"/>
                <w:sz w:val="20"/>
                <w:szCs w:val="20"/>
              </w:rPr>
              <w:t>Serological cross</w:t>
            </w:r>
            <w:r w:rsidRPr="00373798">
              <w:rPr>
                <w:rFonts w:ascii="Cambria Math" w:hAnsi="Cambria Math" w:cs="Cambria Math"/>
                <w:sz w:val="20"/>
                <w:szCs w:val="20"/>
              </w:rPr>
              <w:t>‑</w:t>
            </w:r>
            <w:r w:rsidRPr="00373798">
              <w:rPr>
                <w:rFonts w:ascii="Aptos" w:hAnsi="Aptos" w:cs="Arial"/>
                <w:sz w:val="20"/>
                <w:szCs w:val="20"/>
              </w:rPr>
              <w:t xml:space="preserve">reactivity among the viruses grouped into </w:t>
            </w:r>
            <w:r w:rsidRPr="00743BA1">
              <w:rPr>
                <w:rFonts w:ascii="Aptos" w:hAnsi="Aptos" w:cs="Arial"/>
                <w:i/>
                <w:iCs/>
                <w:sz w:val="20"/>
                <w:szCs w:val="20"/>
              </w:rPr>
              <w:t xml:space="preserve">O. </w:t>
            </w:r>
            <w:proofErr w:type="spellStart"/>
            <w:r w:rsidRPr="00743BA1">
              <w:rPr>
                <w:rFonts w:ascii="Aptos" w:hAnsi="Aptos" w:cs="Arial"/>
                <w:i/>
                <w:iCs/>
                <w:sz w:val="20"/>
                <w:szCs w:val="20"/>
              </w:rPr>
              <w:t>eurasiaticus</w:t>
            </w:r>
            <w:proofErr w:type="spellEnd"/>
            <w:r w:rsidRPr="00373798">
              <w:rPr>
                <w:rFonts w:ascii="Aptos" w:hAnsi="Aptos" w:cs="Arial"/>
                <w:sz w:val="20"/>
                <w:szCs w:val="20"/>
              </w:rPr>
              <w:t xml:space="preserve"> is extensive. Cross</w:t>
            </w:r>
            <w:r w:rsidRPr="00373798">
              <w:rPr>
                <w:rFonts w:ascii="Cambria Math" w:hAnsi="Cambria Math" w:cs="Cambria Math"/>
                <w:sz w:val="20"/>
                <w:szCs w:val="20"/>
              </w:rPr>
              <w:t>‑</w:t>
            </w:r>
            <w:proofErr w:type="spellStart"/>
            <w:r w:rsidRPr="00373798">
              <w:rPr>
                <w:rFonts w:ascii="Aptos" w:hAnsi="Aptos" w:cs="Arial"/>
                <w:sz w:val="20"/>
                <w:szCs w:val="20"/>
              </w:rPr>
              <w:t>neutralisation</w:t>
            </w:r>
            <w:proofErr w:type="spellEnd"/>
            <w:r w:rsidRPr="00373798">
              <w:rPr>
                <w:rFonts w:ascii="Aptos" w:hAnsi="Aptos" w:cs="Arial"/>
                <w:sz w:val="20"/>
                <w:szCs w:val="20"/>
              </w:rPr>
              <w:t xml:space="preserve"> tests show that the antigenic distances between TBEV and LIV are smaller than those documented among well</w:t>
            </w:r>
            <w:r w:rsidRPr="00373798">
              <w:rPr>
                <w:rFonts w:ascii="Cambria Math" w:hAnsi="Cambria Math" w:cs="Cambria Math"/>
                <w:sz w:val="20"/>
                <w:szCs w:val="20"/>
              </w:rPr>
              <w:t>‑</w:t>
            </w:r>
            <w:r w:rsidR="00541A4D" w:rsidRPr="00373798">
              <w:rPr>
                <w:rFonts w:ascii="Aptos" w:hAnsi="Aptos" w:cs="Arial"/>
                <w:sz w:val="20"/>
                <w:szCs w:val="20"/>
              </w:rPr>
              <w:t>characterized</w:t>
            </w:r>
            <w:r w:rsidRPr="00373798">
              <w:rPr>
                <w:rFonts w:ascii="Aptos" w:hAnsi="Aptos" w:cs="Arial"/>
                <w:sz w:val="20"/>
                <w:szCs w:val="20"/>
              </w:rPr>
              <w:t xml:space="preserve"> lineages of </w:t>
            </w:r>
            <w:r w:rsidR="005961F4" w:rsidRPr="00373798">
              <w:rPr>
                <w:rFonts w:ascii="Aptos" w:hAnsi="Aptos" w:cs="Arial"/>
                <w:sz w:val="20"/>
                <w:szCs w:val="20"/>
              </w:rPr>
              <w:t>Yellow fever virus</w:t>
            </w:r>
            <w:r w:rsidRPr="00373798">
              <w:rPr>
                <w:rFonts w:ascii="Aptos" w:hAnsi="Aptos" w:cs="Arial"/>
                <w:sz w:val="20"/>
                <w:szCs w:val="20"/>
              </w:rPr>
              <w:t xml:space="preserve">, </w:t>
            </w:r>
            <w:r w:rsidR="00541A4D">
              <w:rPr>
                <w:rFonts w:ascii="Aptos" w:hAnsi="Aptos" w:cs="Arial"/>
                <w:sz w:val="20"/>
                <w:szCs w:val="20"/>
              </w:rPr>
              <w:t xml:space="preserve">yet </w:t>
            </w:r>
            <w:r w:rsidRPr="00373798">
              <w:rPr>
                <w:rFonts w:ascii="Aptos" w:hAnsi="Aptos" w:cs="Arial"/>
                <w:sz w:val="20"/>
                <w:szCs w:val="20"/>
              </w:rPr>
              <w:t xml:space="preserve">all </w:t>
            </w:r>
            <w:r w:rsidR="00541A4D">
              <w:rPr>
                <w:rFonts w:ascii="Aptos" w:hAnsi="Aptos" w:cs="Arial"/>
                <w:sz w:val="20"/>
                <w:szCs w:val="20"/>
              </w:rPr>
              <w:t>YFV representatives</w:t>
            </w:r>
            <w:r w:rsidR="00541A4D" w:rsidRPr="00373798">
              <w:rPr>
                <w:rFonts w:ascii="Aptos" w:hAnsi="Aptos" w:cs="Arial"/>
                <w:sz w:val="20"/>
                <w:szCs w:val="20"/>
              </w:rPr>
              <w:t xml:space="preserve"> </w:t>
            </w:r>
            <w:r w:rsidRPr="00373798">
              <w:rPr>
                <w:rFonts w:ascii="Aptos" w:hAnsi="Aptos" w:cs="Arial"/>
                <w:sz w:val="20"/>
                <w:szCs w:val="20"/>
              </w:rPr>
              <w:t>remain a single species</w:t>
            </w:r>
            <w:r w:rsidR="005961F4" w:rsidRPr="00373798">
              <w:rPr>
                <w:rFonts w:ascii="Aptos" w:hAnsi="Aptos" w:cs="Arial"/>
                <w:sz w:val="20"/>
                <w:szCs w:val="20"/>
              </w:rPr>
              <w:t xml:space="preserve"> </w:t>
            </w:r>
            <w:r w:rsidR="005961F4"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{"citationItems":[{"id":"ITEM-1","itemData":{"DOI":"10.1099/vir.0.031641-0","ISSN":"0022-1317","PMID":"21900425","abstract":"Dengue viruses (DENV) cause countless human deaths each year, whilst West Nile virus (WNV) has re-emerged as an important human pathogen. There are currently no WNV or DENV vaccines licensed for human use, yet vaccines exist against other flaviviruses. To investigate flavivirus cross-reactivity, sera from a human cohort with a history of vaccination against tick-borne encephalitis virus (TBEV), Japanese encephalitis virus (JEV) and yellow fever virus (YFV) were tested for antibodies by plaque reduction neutralization test. Neutralization of louping ill virus (LIV) occurred, but no significant neutralization of Murray Valley encephalitis virus was observed. Sera from some individuals vaccinated against TBEV and JEV neutralized WNV, which was enhanced by YFV vaccination in some recipients. Similarly, some individuals neutralized DENV-2, but this was not significantly influenced by YFV vaccination. Antigenic cartography techniques were used to generate a geometric illustration of the neutralization titres of selected sera against WNV, TBEV, JEV, LIV, YFV and DENV-2. This demonstrated the individual variation in antibody responses. Most sera had detectable titres against LIV and some had titres against WNV and DENV-2. Generally, LIV titres were similar to titres against TBEV, confirming the close antigenic relationship between TBEV and LIV. JEV was also antigenically closer to TBEV than WNV, using these sera. The use of sera from individuals vaccinated against multiple pathogens is unique relative to previous applications of antigenic cartography techniques. It is evident from these data that notable differences exist between amino acid sequence identity and mapped antigenic relationships within the family Flaviviridae .","author":[{"dropping-particle":"","family":"Mansfield","given":"Karen L.","non-dropping-particle":"","parse-names":false,"suffix":""},{"dropping-particle":"","family":"Horton","given":"Daniel L.","non-dropping-particle":"","parse-names":false,"suffix":""},{"dropping-particle":"","family":"Johnson","given":"Nicholas","non-dropping-particle":"","parse-names":false,"suffix":""},{"dropping-particle":"","family":"Li","given":"Li","non-dropping-particle":"","parse-names":false,"suffix":""},{"dropping-particle":"","family":"Barrett","given":"Alan D. T.","non-dropping-particle":"","parse-names":false,"suffix":""},{"dropping-particle":"","family":"Smith","given":"Derek J.","non-dropping-particle":"","parse-names":false,"suffix":""},{"dropping-particle":"","family":"Galbraith","given":"Sareen E.","non-dropping-particle":"","parse-names":false,"suffix":""},{"dropping-particle":"","family":"Solomon","given":"Tom","non-dropping-particle":"","parse-names":false,"suffix":""},{"dropping-particle":"","family":"Fooks","given":"Anthony R.","non-dropping-particle":"","parse-names":false,"suffix":""}],"container-title":"Journal of General Virology","id":"ITEM-1","issue":"12","issued":{"date-parts":[["2011","12","1"]]},"page":"2821-2829","title":"Flavivirus-induced antibody cross-reactivity","type":"article-journal","volume":"92"},"uris":["http://www.mendeley.com/documents/?uuid=4d6ed71a-ad26-4ad2-ae03-f4ba232d560c"]}],"mendeley":{"formattedCitation":"[30]","plainTextFormattedCitation":"[30]","previouslyFormattedCitation":"[30]"},"properties":{"noteIndex":0},"schema":"https://github.com/citation-style-language/schema/raw/master/csl-citation.json"}</w:instrText>
            </w:r>
            <w:r w:rsidR="005961F4" w:rsidRPr="00373798">
              <w:rPr>
                <w:rFonts w:ascii="Aptos" w:hAnsi="Aptos" w:cs="Arial"/>
                <w:sz w:val="20"/>
                <w:szCs w:val="20"/>
              </w:rPr>
              <w:fldChar w:fldCharType="separate"/>
            </w:r>
            <w:r w:rsidR="00FE4AC7" w:rsidRPr="00373798">
              <w:rPr>
                <w:rFonts w:ascii="Aptos" w:hAnsi="Aptos" w:cs="Arial"/>
                <w:noProof/>
                <w:sz w:val="20"/>
                <w:szCs w:val="20"/>
              </w:rPr>
              <w:t>[30]</w:t>
            </w:r>
            <w:r w:rsidR="005961F4" w:rsidRPr="00373798">
              <w:rPr>
                <w:rFonts w:ascii="Aptos" w:hAnsi="Aptos" w:cs="Arial"/>
                <w:sz w:val="20"/>
                <w:szCs w:val="20"/>
              </w:rPr>
              <w:fldChar w:fldCharType="end"/>
            </w:r>
            <w:r w:rsidRPr="00373798">
              <w:rPr>
                <w:rFonts w:ascii="Aptos" w:hAnsi="Aptos" w:cs="Arial"/>
                <w:sz w:val="20"/>
                <w:szCs w:val="20"/>
              </w:rPr>
              <w:t xml:space="preserve">. Similarly, sera from TBEV vaccine recipients </w:t>
            </w:r>
            <w:r w:rsidR="00541A4D" w:rsidRPr="00373798">
              <w:rPr>
                <w:rFonts w:ascii="Aptos" w:hAnsi="Aptos" w:cs="Arial"/>
                <w:sz w:val="20"/>
                <w:szCs w:val="20"/>
              </w:rPr>
              <w:t>neutralize</w:t>
            </w:r>
            <w:r w:rsidRPr="00373798">
              <w:rPr>
                <w:rFonts w:ascii="Aptos" w:hAnsi="Aptos" w:cs="Arial"/>
                <w:sz w:val="20"/>
                <w:szCs w:val="20"/>
              </w:rPr>
              <w:t xml:space="preserve"> OHFV </w:t>
            </w:r>
            <w:r w:rsidR="005961F4"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{"citationItems":[{"id":"ITEM-1","itemData":{"DOI":"10.1093/infdis/jir122","ISSN":"00221899","PMID":"21592984","abstract":"After vaccination of humans with tick-borne encephalitis virus (TBEV) vaccine, the extent of crossneutralization between viruses of the European, Far Eastern, and Siberian subtypes of TBEV and Omsk hemorrhagic fever virus (OHFV) was analyzed. Hybrid viruses that encode the TBEV surface proteins for representative viruses within all subtypes, and OHFV, were constructed using the West Nile virus (WNV) backbone as vector. These viruses allow for unbiased head-to-head comparison in neutralization assays because they exhibit the antigenic characteristics of the TBEV strains from which the surface proteins were derived and showed equivalent biologic properties in cell culture. Human serum samples derived from a TBEV vaccine trial were analyzed and revealed comparable neutralizing antibody titers against European, Far Eastern, and Siberian subtype viruses, indicating equally potent cross-protection against these TBEV strains and a somewhat reduced but still protective neutralization capacity against more distantly related viruses, such as OHFV. © The Author 2011. Published by Oxford University Press on behalf of the Infectious Diseases Society of America. All rights reserved.","author":[{"dropping-particle":"","family":"Orlinger","given":"Klaus K.","non-dropping-particle":"","parse-names":false,"suffix":""},{"dropping-particle":"","family":"Hofmeister","given":"Yvonne","non-dropping-particle":"","parse-names":false,"suffix":""},{"dropping-particle":"","family":"Fritz","given":"Richard","non-dropping-particle":"","parse-names":false,"suffix":""},{"dropping-particle":"","family":"Holzer","given":"Georg W.","non-dropping-particle":"","parse-names":false,"suffix":""},{"dropping-particle":"","family":"Falkner","given":"Falko G.","non-dropping-particle":"","parse-names":false,"suffix":""},{"dropping-particle":"","family":"Unger","given":"Bernd","non-dropping-particle":"","parse-names":false,"suffix":""},{"dropping-particle":"","family":"Loew-Baselli","given":"Alexandra","non-dropping-particle":"","parse-names":false,"suffix":""},{"dropping-particle":"","family":"Poellabauer","given":"Eva Maria","non-dropping-particle":"","parse-names":false,"suffix":""},{"dropping-particle":"","family":"Ehrlich","given":"Hartmut J.","non-dropping-particle":"","parse-names":false,"suffix":""},{"dropping-particle":"","family":"Barrett","given":"P. Noel","non-dropping-particle":"","parse-names":false,"suffix":""},{"dropping-particle":"","family":"Kreil","given":"Thomas R.","non-dropping-particle":"","parse-names":false,"suffix":""}],"container-title":"Journal of Infectious Diseases","id":"ITEM-1","issue":"11","issued":{"date-parts":[["2011"]]},"page":"1556-1564","title":"A tick-borne encephalitis virus vaccine based on the European prototype strain induces broadly reactive cross-neutralizing antibodies in humans","type":"article-journal","volume":"203"},"uris":["http://www.mendeley.com/documents/?uuid=a081a101-8627-4f5b-a5c2-9424ab81af69"]}],"mendeley":{"formattedCitation":"[31]","plainTextFormattedCitation":"[31]","previouslyFormattedCitation":"[31]"},"properties":{"noteIndex":0},"schema":"https://github.com/citation-style-language/schema/raw/master/csl-citation.json"}</w:instrText>
            </w:r>
            <w:r w:rsidR="005961F4" w:rsidRPr="00373798">
              <w:rPr>
                <w:rFonts w:ascii="Aptos" w:hAnsi="Aptos" w:cs="Arial"/>
                <w:sz w:val="20"/>
                <w:szCs w:val="20"/>
              </w:rPr>
              <w:fldChar w:fldCharType="separate"/>
            </w:r>
            <w:r w:rsidR="00FE4AC7" w:rsidRPr="00373798">
              <w:rPr>
                <w:rFonts w:ascii="Aptos" w:hAnsi="Aptos" w:cs="Arial"/>
                <w:noProof/>
                <w:sz w:val="20"/>
                <w:szCs w:val="20"/>
              </w:rPr>
              <w:t>[31]</w:t>
            </w:r>
            <w:r w:rsidR="005961F4" w:rsidRPr="00373798">
              <w:rPr>
                <w:rFonts w:ascii="Aptos" w:hAnsi="Aptos" w:cs="Arial"/>
                <w:sz w:val="20"/>
                <w:szCs w:val="20"/>
              </w:rPr>
              <w:fldChar w:fldCharType="end"/>
            </w:r>
            <w:r w:rsidRPr="00373798">
              <w:rPr>
                <w:rFonts w:ascii="Aptos" w:hAnsi="Aptos" w:cs="Arial"/>
                <w:sz w:val="20"/>
                <w:szCs w:val="20"/>
              </w:rPr>
              <w:t>.</w:t>
            </w:r>
          </w:p>
          <w:p w14:paraId="066B3B27" w14:textId="326AF5BF" w:rsidR="001E298D" w:rsidRPr="00373798" w:rsidRDefault="001E298D" w:rsidP="001E298D">
            <w:pPr>
              <w:rPr>
                <w:rFonts w:ascii="Aptos" w:hAnsi="Aptos" w:cs="Arial"/>
                <w:sz w:val="20"/>
                <w:szCs w:val="20"/>
              </w:rPr>
            </w:pPr>
            <w:r w:rsidRPr="00373798">
              <w:rPr>
                <w:rFonts w:ascii="Aptos" w:hAnsi="Aptos" w:cs="Arial"/>
                <w:sz w:val="20"/>
                <w:szCs w:val="20"/>
              </w:rPr>
              <w:t xml:space="preserve">The protective efficacy of TBE vaccines based on different subtypes has been extensively studied. </w:t>
            </w:r>
            <w:r w:rsidR="0086023F" w:rsidRPr="00373798">
              <w:rPr>
                <w:rFonts w:ascii="Aptos" w:hAnsi="Aptos" w:cs="Arial"/>
                <w:sz w:val="20"/>
                <w:szCs w:val="20"/>
              </w:rPr>
              <w:t>V</w:t>
            </w:r>
            <w:r w:rsidRPr="00373798">
              <w:rPr>
                <w:rFonts w:ascii="Aptos" w:hAnsi="Aptos" w:cs="Arial"/>
                <w:sz w:val="20"/>
                <w:szCs w:val="20"/>
              </w:rPr>
              <w:t>accines based on both European and Far Eastern strains provide cross</w:t>
            </w:r>
            <w:r w:rsidRPr="00373798">
              <w:rPr>
                <w:rFonts w:ascii="Cambria Math" w:hAnsi="Cambria Math" w:cs="Cambria Math"/>
                <w:sz w:val="20"/>
                <w:szCs w:val="20"/>
              </w:rPr>
              <w:t>‑</w:t>
            </w:r>
            <w:r w:rsidRPr="00373798">
              <w:rPr>
                <w:rFonts w:ascii="Aptos" w:hAnsi="Aptos" w:cs="Arial"/>
                <w:sz w:val="20"/>
                <w:szCs w:val="20"/>
              </w:rPr>
              <w:t xml:space="preserve">protection against a wide range of TBEV strains representing </w:t>
            </w:r>
            <w:r w:rsidR="0086023F" w:rsidRPr="00373798">
              <w:rPr>
                <w:rFonts w:ascii="Aptos" w:hAnsi="Aptos" w:cs="Arial"/>
                <w:sz w:val="20"/>
                <w:szCs w:val="20"/>
              </w:rPr>
              <w:t>most</w:t>
            </w:r>
            <w:r w:rsidRPr="00373798">
              <w:rPr>
                <w:rFonts w:ascii="Aptos" w:hAnsi="Aptos" w:cs="Arial"/>
                <w:sz w:val="20"/>
                <w:szCs w:val="20"/>
              </w:rPr>
              <w:t xml:space="preserve"> subtypes</w:t>
            </w:r>
            <w:r w:rsidR="0086023F" w:rsidRPr="00373798">
              <w:rPr>
                <w:rFonts w:ascii="Aptos" w:hAnsi="Aptos" w:cs="Arial"/>
                <w:sz w:val="20"/>
                <w:szCs w:val="20"/>
              </w:rPr>
              <w:t xml:space="preserve"> </w:t>
            </w:r>
            <w:r w:rsidR="0086023F"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{"citationItems":[{"id":"ITEM-1","itemData":{"DOI":"10.3389/fmicb.2018.01487","ISSN":"1664-302X (Print) 1664-302X (Linking)","author":[{"dropping-particle":"","family":"Chernokhaeva","given":"Liubov L.","non-dropping-particle":"","parse-names":false,"suffix":""},{"dropping-particle":"V.","family":"Rogova","given":"Yulia","non-dropping-particle":"","parse-names":false,"suffix":""},{"dropping-particle":"","family":"Kozlovskaya","given":"Liubov I.","non-dropping-particle":"","parse-names":false,"suffix":""},{"dropping-particle":"","family":"Romanova","given":"Lidiya I.","non-dropping-particle":"","parse-names":false,"suffix":""},{"dropping-particle":"","family":"Osolodkin","given":"Dmitry I.","non-dropping-particle":"","parse-names":false,"suffix":""},{"dropping-particle":"","family":"Vorovitch","given":"Mikhail F.","non-dropping-particle":"","parse-names":false,"suffix":""},{"dropping-particle":"","family":"Karganova","given":"Galina G.","non-dropping-particle":"","parse-names":false,"suffix":""}],"container-title":"Front Microbiol","id":"ITEM-1","issued":{"date-parts":[["2018","7"]]},"page":"1487","publisher-place":"Chumakov Institute of Poliomyelitis and Viral Encephalitides, Chumakov Federal Scientific Center for Research and Development of Immune-and-Biological Products Russian Academy of Science, Chumakov FSC R&amp;D IBP RAS, Moscow, Russia. Institute for Translation","title":"Experimental Evaluation of the Protective Efficacy of Tick-Borne Encephalitis (TBE) Vaccines Based on European and Far-Eastern TBEV Strains in Mice and in Vitro","type":"article-journal","volume":"9"},"uris":["http://www.mendeley.com/documents/?uuid=9b6c7f9c-06b6-4e56-a17b-9088da401816"]}],"mendeley":{"formattedCitation":"[32]","plainTextFormattedCitation":"[32]","previouslyFormattedCitation":"[32]"},"properties":{"noteIndex":0},"schema":"https://github.com/citation-style-language/schema/raw/master/csl-citation.json"}</w:instrText>
            </w:r>
            <w:r w:rsidR="0086023F" w:rsidRPr="00373798">
              <w:rPr>
                <w:rFonts w:ascii="Aptos" w:hAnsi="Aptos" w:cs="Arial"/>
                <w:sz w:val="20"/>
                <w:szCs w:val="20"/>
              </w:rPr>
              <w:fldChar w:fldCharType="separate"/>
            </w:r>
            <w:r w:rsidR="00FE4AC7" w:rsidRPr="00373798">
              <w:rPr>
                <w:rFonts w:ascii="Aptos" w:hAnsi="Aptos" w:cs="Arial"/>
                <w:noProof/>
                <w:sz w:val="20"/>
                <w:szCs w:val="20"/>
              </w:rPr>
              <w:t>[32]</w:t>
            </w:r>
            <w:r w:rsidR="0086023F" w:rsidRPr="00373798">
              <w:rPr>
                <w:rFonts w:ascii="Aptos" w:hAnsi="Aptos" w:cs="Arial"/>
                <w:sz w:val="20"/>
                <w:szCs w:val="20"/>
              </w:rPr>
              <w:fldChar w:fldCharType="end"/>
            </w:r>
            <w:r w:rsidRPr="00373798">
              <w:rPr>
                <w:rFonts w:ascii="Aptos" w:hAnsi="Aptos" w:cs="Arial"/>
                <w:sz w:val="20"/>
                <w:szCs w:val="20"/>
              </w:rPr>
              <w:t xml:space="preserve">. Importantly, the protective efficacy depended on the individual properties of the vaccine strain and the challenge virus rather than on their subtype affiliation. Even a single amino acid substitution in the E protein could affect the spectrum of induced </w:t>
            </w:r>
            <w:r w:rsidR="00541A4D" w:rsidRPr="00373798">
              <w:rPr>
                <w:rFonts w:ascii="Aptos" w:hAnsi="Aptos" w:cs="Arial"/>
                <w:sz w:val="20"/>
                <w:szCs w:val="20"/>
              </w:rPr>
              <w:t>neutralizing</w:t>
            </w:r>
            <w:r w:rsidRPr="00373798">
              <w:rPr>
                <w:rFonts w:ascii="Aptos" w:hAnsi="Aptos" w:cs="Arial"/>
                <w:sz w:val="20"/>
                <w:szCs w:val="20"/>
              </w:rPr>
              <w:t xml:space="preserve"> antibodies and the protective efficacy.</w:t>
            </w:r>
          </w:p>
          <w:p w14:paraId="6CEDCA78" w14:textId="017BE02B" w:rsidR="001E298D" w:rsidRPr="00373798" w:rsidRDefault="001E298D" w:rsidP="001E298D">
            <w:pPr>
              <w:rPr>
                <w:rFonts w:ascii="Aptos" w:hAnsi="Aptos" w:cs="Arial"/>
                <w:sz w:val="20"/>
                <w:szCs w:val="20"/>
              </w:rPr>
            </w:pPr>
            <w:r w:rsidRPr="00373798">
              <w:rPr>
                <w:rFonts w:ascii="Aptos" w:hAnsi="Aptos" w:cs="Arial"/>
                <w:sz w:val="20"/>
                <w:szCs w:val="20"/>
              </w:rPr>
              <w:lastRenderedPageBreak/>
              <w:t>Furthermore, the TBE vaccine provides long</w:t>
            </w:r>
            <w:r w:rsidRPr="00373798">
              <w:rPr>
                <w:rFonts w:ascii="Cambria Math" w:hAnsi="Cambria Math" w:cs="Cambria Math"/>
                <w:sz w:val="20"/>
                <w:szCs w:val="20"/>
              </w:rPr>
              <w:t>‑</w:t>
            </w:r>
            <w:r w:rsidRPr="00373798">
              <w:rPr>
                <w:rFonts w:ascii="Aptos" w:hAnsi="Aptos" w:cs="Arial"/>
                <w:sz w:val="20"/>
                <w:szCs w:val="20"/>
              </w:rPr>
              <w:t xml:space="preserve">term protection against OHFV in an experimental mouse model. </w:t>
            </w:r>
            <w:r w:rsidR="0086023F" w:rsidRPr="00373798">
              <w:rPr>
                <w:rFonts w:ascii="Aptos" w:hAnsi="Aptos" w:cs="Arial"/>
                <w:sz w:val="20"/>
                <w:szCs w:val="20"/>
              </w:rPr>
              <w:t>M</w:t>
            </w:r>
            <w:r w:rsidRPr="00373798">
              <w:rPr>
                <w:rFonts w:ascii="Aptos" w:hAnsi="Aptos" w:cs="Arial"/>
                <w:sz w:val="20"/>
                <w:szCs w:val="20"/>
              </w:rPr>
              <w:t xml:space="preserve">ice vaccinated with the inactivated TBE vaccine were protected against OHFV infection even one year after </w:t>
            </w:r>
            <w:r w:rsidR="00541A4D" w:rsidRPr="00373798">
              <w:rPr>
                <w:rFonts w:ascii="Aptos" w:hAnsi="Aptos" w:cs="Arial"/>
                <w:sz w:val="20"/>
                <w:szCs w:val="20"/>
              </w:rPr>
              <w:t>immunization</w:t>
            </w:r>
            <w:r w:rsidRPr="00373798">
              <w:rPr>
                <w:rFonts w:ascii="Aptos" w:hAnsi="Aptos" w:cs="Arial"/>
                <w:sz w:val="20"/>
                <w:szCs w:val="20"/>
              </w:rPr>
              <w:t xml:space="preserve">, with </w:t>
            </w:r>
            <w:r w:rsidR="00541A4D" w:rsidRPr="00373798">
              <w:rPr>
                <w:rFonts w:ascii="Aptos" w:hAnsi="Aptos" w:cs="Arial"/>
                <w:sz w:val="20"/>
                <w:szCs w:val="20"/>
              </w:rPr>
              <w:t>neutralizing</w:t>
            </w:r>
            <w:r w:rsidRPr="00373798">
              <w:rPr>
                <w:rFonts w:ascii="Aptos" w:hAnsi="Aptos" w:cs="Arial"/>
                <w:sz w:val="20"/>
                <w:szCs w:val="20"/>
              </w:rPr>
              <w:t xml:space="preserve"> antibody titers against OHFV comparable to those against the TBEV vaccine strain</w:t>
            </w:r>
            <w:r w:rsidR="00183203" w:rsidRPr="00373798">
              <w:rPr>
                <w:rFonts w:ascii="Aptos" w:hAnsi="Aptos" w:cs="Arial"/>
                <w:sz w:val="20"/>
                <w:szCs w:val="20"/>
              </w:rPr>
              <w:t xml:space="preserve"> </w:t>
            </w:r>
            <w:r w:rsidR="00183203"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{"citationItems":[{"id":"ITEM-1","itemData":{"DOI":"10.3390/ijms27125435","ISSN":"14220067","abstract":"Ranges of distribution of some orthoflaviviruses, including the Omsk hemorrhagic fever virus (OHFV) and the Powassan virus (POWV), have been identified in the range endemic for the tick-borne encephalitis virus (TBEV). In contrast to TBEV, no registered vaccine against OHFV and POWV is currently available. Nevertheless, recent studies have indicated that the anti-TBEV vaccine may offer partial protection against other orthoflaviviruses. The present study assesses OHFV and POWV infection in an experimental model on BALB/c mice one, three- and twelve-months post-immunization with inactivated TBE vaccine. The TBE vaccine was shown to provide long-term protection against OHFV and partial protection against POWV, even in the absence of specific antibodies, and without indications of antibody-dependent enhancement of infection. The neutralizing antibody titer for OHFV in vaccinated animals before and after the challenge with OHFV was similar to the titer of antibodies against the TBEV vaccine strain. Following immunization with anti-TBEV vaccine and subsequent inoculation of POWV, the levels of neutralizing antibodies against the TBEV vaccine strain was observed to be higher compared to those targeting POWV, especially during the initial phase of infection. Such cross-reactive antibodies have potential to pose a significant diagnostic challenge in cases where an infection is occurring simultaneously with an immune response to another virus.","author":[{"dropping-particle":"","family":"Kuchina","given":"Viktoria","non-dropping-particle":"","parse-names":false,"suffix":""},{"dropping-particle":"","family":"Tuchynskaya","given":"Ksenia","non-dropping-particle":"","parse-names":false,"suffix":""},{"dropping-particle":"","family":"Rogova","given":"Anastasia","non-dropping-particle":"","parse-names":false,"suffix":""},{"dropping-particle":"","family":"Karganova","given":"Galina","non-dropping-particle":"","parse-names":false,"suffix":""}],"container-title":"International Journal of Molecular Sciences","id":"ITEM-1","issue":"12","issued":{"date-parts":[["2026"]]},"page":"1-26","title":"Omsk Hemorrhagic Fever Virus and Powassan Virus Infections at Different Times After Immunization with the TBE Vaccine in In Vivo Experiments","type":"article-journal","volume":"27"},"uris":["http://www.mendeley.com/documents/?uuid=5bd85c3e-6bd7-444e-9f74-62c499d798b4"]}],"mendeley":{"formattedCitation":"[33]","plainTextFormattedCitation":"[33]","previouslyFormattedCitation":"[33]"},"properties":{"noteIndex":0},"schema":"https://github.com/citation-style-language/schema/raw/master/csl-citation.json"}</w:instrText>
            </w:r>
            <w:r w:rsidR="00183203" w:rsidRPr="00373798">
              <w:rPr>
                <w:rFonts w:ascii="Aptos" w:hAnsi="Aptos" w:cs="Arial"/>
                <w:sz w:val="20"/>
                <w:szCs w:val="20"/>
              </w:rPr>
              <w:fldChar w:fldCharType="separate"/>
            </w:r>
            <w:r w:rsidR="00FE4AC7" w:rsidRPr="00373798">
              <w:rPr>
                <w:rFonts w:ascii="Aptos" w:hAnsi="Aptos" w:cs="Arial"/>
                <w:noProof/>
                <w:sz w:val="20"/>
                <w:szCs w:val="20"/>
              </w:rPr>
              <w:t>[33]</w:t>
            </w:r>
            <w:r w:rsidR="00183203" w:rsidRPr="00373798">
              <w:rPr>
                <w:rFonts w:ascii="Aptos" w:hAnsi="Aptos" w:cs="Arial"/>
                <w:sz w:val="20"/>
                <w:szCs w:val="20"/>
              </w:rPr>
              <w:fldChar w:fldCharType="end"/>
            </w:r>
            <w:r w:rsidRPr="00373798">
              <w:rPr>
                <w:rFonts w:ascii="Aptos" w:hAnsi="Aptos" w:cs="Arial"/>
                <w:sz w:val="20"/>
                <w:szCs w:val="20"/>
              </w:rPr>
              <w:t xml:space="preserve">. </w:t>
            </w:r>
          </w:p>
          <w:p w14:paraId="2C28BB67" w14:textId="6C49A347" w:rsidR="001E298D" w:rsidRPr="00373798" w:rsidRDefault="001E298D" w:rsidP="001E298D">
            <w:pPr>
              <w:rPr>
                <w:rFonts w:ascii="Aptos" w:hAnsi="Aptos" w:cs="Arial"/>
                <w:sz w:val="20"/>
                <w:szCs w:val="20"/>
              </w:rPr>
            </w:pPr>
            <w:r w:rsidRPr="00373798">
              <w:rPr>
                <w:rFonts w:ascii="Aptos" w:hAnsi="Aptos" w:cs="Arial"/>
                <w:sz w:val="20"/>
                <w:szCs w:val="20"/>
              </w:rPr>
              <w:t xml:space="preserve">Taken together, the available serological evidence suggests that the antigenic distances within the proposed </w:t>
            </w:r>
            <w:r w:rsidRPr="00743BA1">
              <w:rPr>
                <w:rFonts w:ascii="Aptos" w:hAnsi="Aptos" w:cs="Arial"/>
                <w:i/>
                <w:iCs/>
                <w:sz w:val="20"/>
                <w:szCs w:val="20"/>
              </w:rPr>
              <w:t xml:space="preserve">O. </w:t>
            </w:r>
            <w:proofErr w:type="spellStart"/>
            <w:r w:rsidRPr="00743BA1">
              <w:rPr>
                <w:rFonts w:ascii="Aptos" w:hAnsi="Aptos" w:cs="Arial"/>
                <w:i/>
                <w:iCs/>
                <w:sz w:val="20"/>
                <w:szCs w:val="20"/>
              </w:rPr>
              <w:t>eurasiaticus</w:t>
            </w:r>
            <w:proofErr w:type="spellEnd"/>
            <w:r w:rsidRPr="00373798">
              <w:rPr>
                <w:rFonts w:ascii="Aptos" w:hAnsi="Aptos" w:cs="Arial"/>
                <w:sz w:val="20"/>
                <w:szCs w:val="20"/>
              </w:rPr>
              <w:t xml:space="preserve"> clade are no larger than those accepted within other orthoflavivirus species. Minor differences can be readily expressed at the </w:t>
            </w:r>
            <w:r w:rsidR="00736436">
              <w:rPr>
                <w:rFonts w:ascii="Aptos" w:hAnsi="Aptos" w:cs="Arial"/>
                <w:sz w:val="20"/>
                <w:szCs w:val="20"/>
              </w:rPr>
              <w:t>subspecies</w:t>
            </w:r>
            <w:r w:rsidRPr="00373798">
              <w:rPr>
                <w:rFonts w:ascii="Aptos" w:hAnsi="Aptos" w:cs="Arial"/>
                <w:sz w:val="20"/>
                <w:szCs w:val="20"/>
              </w:rPr>
              <w:t xml:space="preserve"> level, which is fully compatible with the ICTV's recommendation that antigenic data be weighed alongside the remaining demarcation criteria.</w:t>
            </w:r>
          </w:p>
          <w:p w14:paraId="0975E535" w14:textId="1CAB6D5C" w:rsidR="00183203" w:rsidRPr="00373798" w:rsidRDefault="00183203" w:rsidP="001E298D">
            <w:pPr>
              <w:rPr>
                <w:rFonts w:ascii="Aptos" w:hAnsi="Aptos" w:cs="Arial"/>
                <w:sz w:val="20"/>
                <w:szCs w:val="20"/>
              </w:rPr>
            </w:pPr>
          </w:p>
          <w:p w14:paraId="778F2794" w14:textId="0BCD923C" w:rsidR="00183203" w:rsidRPr="00373798" w:rsidRDefault="00183203" w:rsidP="001E298D">
            <w:pPr>
              <w:rPr>
                <w:rFonts w:ascii="Aptos" w:hAnsi="Aptos" w:cs="Arial"/>
                <w:sz w:val="20"/>
                <w:szCs w:val="20"/>
              </w:rPr>
            </w:pPr>
            <w:r w:rsidRPr="00373798">
              <w:rPr>
                <w:rFonts w:ascii="Aptos" w:hAnsi="Aptos" w:cs="Arial"/>
                <w:sz w:val="20"/>
                <w:szCs w:val="20"/>
                <w:u w:val="single"/>
              </w:rPr>
              <w:t>3.3 Disease association</w:t>
            </w:r>
          </w:p>
          <w:p w14:paraId="3EAE1ADF" w14:textId="73ED9CC1" w:rsidR="00183203" w:rsidRPr="00373798" w:rsidRDefault="00183203" w:rsidP="00183203">
            <w:pPr>
              <w:rPr>
                <w:rFonts w:ascii="Aptos" w:hAnsi="Aptos" w:cs="Arial"/>
                <w:sz w:val="20"/>
                <w:szCs w:val="20"/>
              </w:rPr>
            </w:pPr>
            <w:r w:rsidRPr="00373798">
              <w:rPr>
                <w:rFonts w:ascii="Aptos" w:hAnsi="Aptos" w:cs="Arial"/>
                <w:sz w:val="20"/>
                <w:szCs w:val="20"/>
              </w:rPr>
              <w:t xml:space="preserve">The clinical symptoms caused by the viruses included in </w:t>
            </w:r>
            <w:r w:rsidRPr="00BD3A2E">
              <w:rPr>
                <w:rFonts w:ascii="Aptos" w:hAnsi="Aptos" w:cs="Arial"/>
                <w:i/>
                <w:iCs/>
                <w:sz w:val="20"/>
                <w:szCs w:val="20"/>
              </w:rPr>
              <w:t xml:space="preserve">O. </w:t>
            </w:r>
            <w:proofErr w:type="spellStart"/>
            <w:r w:rsidRPr="00BD3A2E">
              <w:rPr>
                <w:rFonts w:ascii="Aptos" w:hAnsi="Aptos" w:cs="Arial"/>
                <w:i/>
                <w:iCs/>
                <w:sz w:val="20"/>
                <w:szCs w:val="20"/>
              </w:rPr>
              <w:t>eurasiaticus</w:t>
            </w:r>
            <w:proofErr w:type="spellEnd"/>
            <w:r w:rsidRPr="00373798">
              <w:rPr>
                <w:rFonts w:ascii="Aptos" w:hAnsi="Aptos" w:cs="Arial"/>
                <w:sz w:val="20"/>
                <w:szCs w:val="20"/>
              </w:rPr>
              <w:t xml:space="preserve">, at first glance, can be described as a collection of distinct diseases, namely severe monophasic encephalitis (TBEV-FE), biphasic </w:t>
            </w:r>
            <w:proofErr w:type="spellStart"/>
            <w:r w:rsidRPr="00373798">
              <w:rPr>
                <w:rFonts w:ascii="Aptos" w:hAnsi="Aptos" w:cs="Arial"/>
                <w:sz w:val="20"/>
                <w:szCs w:val="20"/>
              </w:rPr>
              <w:t>neuroinvasive</w:t>
            </w:r>
            <w:proofErr w:type="spellEnd"/>
            <w:r w:rsidRPr="00373798">
              <w:rPr>
                <w:rFonts w:ascii="Aptos" w:hAnsi="Aptos" w:cs="Arial"/>
                <w:sz w:val="20"/>
                <w:szCs w:val="20"/>
              </w:rPr>
              <w:t xml:space="preserve"> illness (TBEV-Eur), </w:t>
            </w:r>
            <w:r w:rsidR="00BD3A2E" w:rsidRPr="00373798">
              <w:rPr>
                <w:rFonts w:ascii="Aptos" w:hAnsi="Aptos" w:cs="Arial"/>
                <w:sz w:val="20"/>
                <w:szCs w:val="20"/>
              </w:rPr>
              <w:t>hemorrhagic</w:t>
            </w:r>
            <w:r w:rsidRPr="00373798">
              <w:rPr>
                <w:rFonts w:ascii="Aptos" w:hAnsi="Aptos" w:cs="Arial"/>
                <w:sz w:val="20"/>
                <w:szCs w:val="20"/>
              </w:rPr>
              <w:t xml:space="preserve"> fever (OHFV) and encephalomyelitis of sheep (LIV). However, a more detailed analysis of the available evidence suggests that the situation is more complex. Most TBEV infections go undetected because they run an asymptomatic course, and the frequently cited gap in severity between the European and Far</w:t>
            </w:r>
            <w:r w:rsidRPr="00373798">
              <w:rPr>
                <w:rFonts w:ascii="Cambria Math" w:hAnsi="Cambria Math" w:cs="Cambria Math"/>
                <w:sz w:val="20"/>
                <w:szCs w:val="20"/>
              </w:rPr>
              <w:t>‑</w:t>
            </w:r>
            <w:r w:rsidRPr="00373798">
              <w:rPr>
                <w:rFonts w:ascii="Aptos" w:hAnsi="Aptos" w:cs="Arial"/>
                <w:sz w:val="20"/>
                <w:szCs w:val="20"/>
              </w:rPr>
              <w:t xml:space="preserve">Eastern subtypes finds little support in contemporary surveillance data. OHFV is not simply a </w:t>
            </w:r>
            <w:r w:rsidR="00BD3A2E" w:rsidRPr="00373798">
              <w:rPr>
                <w:rFonts w:ascii="Aptos" w:hAnsi="Aptos" w:cs="Arial"/>
                <w:sz w:val="20"/>
                <w:szCs w:val="20"/>
              </w:rPr>
              <w:t>hemorrhagic</w:t>
            </w:r>
            <w:r w:rsidRPr="00373798">
              <w:rPr>
                <w:rFonts w:ascii="Aptos" w:hAnsi="Aptos" w:cs="Arial"/>
                <w:sz w:val="20"/>
                <w:szCs w:val="20"/>
              </w:rPr>
              <w:t xml:space="preserve"> fever; a substantial proportion of patients pass through a second, encephalitic phase, with headache and meningism </w:t>
            </w:r>
            <w:r w:rsidR="00422D22"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{"citationItems":[{"id":"ITEM-1","itemData":{"DOI":"10.1016/S0140-6736(10)61120-8","ISSN":"1474-547X","PMID":"20850178","abstract":"Omsk haemorrhagic fever is an acute viral disease prevalent in some regions of western Siberia in Russia. The symptoms of this disease include fever, headache, nausea, severe muscle pain, cough, and moderately severe haemorrhagic manifestations. A third of patients develop pneumonia, nephrosis, meningitis, or a combination of these complications. The only treatments available are for control of symptoms. No specific vaccine has been developed, although the vaccine against tick-borne encephalitis might provide a degree of protection against Omsk haemorrhagic fever virus. The virus is transmitted mainly by Dermacentor reticulatus ticks, but people are mainly infected after contact with infected muskrats (Ondatra zibethicus). Muskrats are very sensitive to Omsk haemorrhagic fever virus. The introduction of this species to Siberia in the 1930s probably led to viral emergence in this area, which had previously seemed free from the disease. Omsk haemorrhagic fever is, therefore, an example of a human disease that emerged owing to human-mediated disturbance of an ecological niche. We review the biological properties of the virus, and the epidemiological and clinical characteristics of Omsk haemorrhagic fever.","author":[{"dropping-particle":"","family":"Růžek","given":"Daniel","non-dropping-particle":"","parse-names":false,"suffix":""},{"dropping-particle":"V","family":"Yakimenko","given":"Valeriy","non-dropping-particle":"","parse-names":false,"suffix":""},{"dropping-particle":"","family":"Karan","given":"Lyudmila S","non-dropping-particle":"","parse-names":false,"suffix":""},{"dropping-particle":"","family":"Tkachev","given":"Sergey E","non-dropping-particle":"","parse-names":false,"suffix":""}],"container-title":"Lancet (London, England)","id":"ITEM-1","issue":"9758","issued":{"date-parts":[["2010","12","18"]]},"page":"2104-13","title":"Omsk haemorrhagic fever.","type":"article-journal","volume":"376"},"uris":["http://www.mendeley.com/documents/?uuid=d764a41a-b037-43a0-a716-906e52408191"]}],"mendeley":{"formattedCitation":"[34]","plainTextFormattedCitation":"[34]","previouslyFormattedCitation":"[34]"},"properties":{"noteIndex":0},"schema":"https://github.com/citation-style-language/schema/raw/master/csl-citation.json"}</w:instrText>
            </w:r>
            <w:r w:rsidR="00422D22" w:rsidRPr="00373798">
              <w:rPr>
                <w:rFonts w:ascii="Aptos" w:hAnsi="Aptos" w:cs="Arial"/>
                <w:sz w:val="20"/>
                <w:szCs w:val="20"/>
              </w:rPr>
              <w:fldChar w:fldCharType="separate"/>
            </w:r>
            <w:r w:rsidR="00FE4AC7" w:rsidRPr="00373798">
              <w:rPr>
                <w:rFonts w:ascii="Aptos" w:hAnsi="Aptos" w:cs="Arial"/>
                <w:noProof/>
                <w:sz w:val="20"/>
                <w:szCs w:val="20"/>
              </w:rPr>
              <w:t>[34]</w:t>
            </w:r>
            <w:r w:rsidR="00422D22" w:rsidRPr="00373798">
              <w:rPr>
                <w:rFonts w:ascii="Aptos" w:hAnsi="Aptos" w:cs="Arial"/>
                <w:sz w:val="20"/>
                <w:szCs w:val="20"/>
              </w:rPr>
              <w:fldChar w:fldCharType="end"/>
            </w:r>
            <w:r w:rsidRPr="00373798">
              <w:rPr>
                <w:rFonts w:ascii="Aptos" w:hAnsi="Aptos" w:cs="Arial"/>
                <w:sz w:val="20"/>
                <w:szCs w:val="20"/>
              </w:rPr>
              <w:t>. LIV, often viewed as a purely veterinary pathogen, causes human infections that range from a transient influenza</w:t>
            </w:r>
            <w:r w:rsidRPr="00373798">
              <w:rPr>
                <w:rFonts w:ascii="Cambria Math" w:hAnsi="Cambria Math" w:cs="Cambria Math"/>
                <w:sz w:val="20"/>
                <w:szCs w:val="20"/>
              </w:rPr>
              <w:t>‑</w:t>
            </w:r>
            <w:r w:rsidRPr="00373798">
              <w:rPr>
                <w:rFonts w:ascii="Aptos" w:hAnsi="Aptos" w:cs="Arial"/>
                <w:sz w:val="20"/>
                <w:szCs w:val="20"/>
              </w:rPr>
              <w:t>like illness to biphasic encephalitis, poliomyelitis</w:t>
            </w:r>
            <w:r w:rsidRPr="00373798">
              <w:rPr>
                <w:rFonts w:ascii="Cambria Math" w:hAnsi="Cambria Math" w:cs="Cambria Math"/>
                <w:sz w:val="20"/>
                <w:szCs w:val="20"/>
              </w:rPr>
              <w:t>‑</w:t>
            </w:r>
            <w:r w:rsidRPr="00373798">
              <w:rPr>
                <w:rFonts w:ascii="Aptos" w:hAnsi="Aptos" w:cs="Arial"/>
                <w:sz w:val="20"/>
                <w:szCs w:val="20"/>
              </w:rPr>
              <w:t xml:space="preserve">like paralysis, and, in a documented laboratory case, a </w:t>
            </w:r>
            <w:r w:rsidR="00BD3A2E" w:rsidRPr="00373798">
              <w:rPr>
                <w:rFonts w:ascii="Aptos" w:hAnsi="Aptos" w:cs="Arial"/>
                <w:sz w:val="20"/>
                <w:szCs w:val="20"/>
              </w:rPr>
              <w:t>hemorrhagic</w:t>
            </w:r>
            <w:r w:rsidRPr="00373798">
              <w:rPr>
                <w:rFonts w:ascii="Aptos" w:hAnsi="Aptos" w:cs="Arial"/>
                <w:sz w:val="20"/>
                <w:szCs w:val="20"/>
              </w:rPr>
              <w:t xml:space="preserve"> syndrome clinically resembling Omsk </w:t>
            </w:r>
            <w:r w:rsidR="00BD3A2E" w:rsidRPr="00373798">
              <w:rPr>
                <w:rFonts w:ascii="Aptos" w:hAnsi="Aptos" w:cs="Arial"/>
                <w:sz w:val="20"/>
                <w:szCs w:val="20"/>
              </w:rPr>
              <w:t>hemorrhagic</w:t>
            </w:r>
            <w:r w:rsidRPr="00373798">
              <w:rPr>
                <w:rFonts w:ascii="Aptos" w:hAnsi="Aptos" w:cs="Arial"/>
                <w:sz w:val="20"/>
                <w:szCs w:val="20"/>
              </w:rPr>
              <w:t xml:space="preserve"> fever</w:t>
            </w:r>
            <w:r w:rsidR="00422D22" w:rsidRPr="00373798">
              <w:rPr>
                <w:rFonts w:ascii="Aptos" w:hAnsi="Aptos" w:cs="Arial"/>
                <w:sz w:val="20"/>
                <w:szCs w:val="20"/>
              </w:rPr>
              <w:t xml:space="preserve"> </w:t>
            </w:r>
            <w:r w:rsidR="00422D22"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{"citationItems":[{"id":"ITEM-1","itemData":{"DOI":"10.1016/0163-4453(91)92756-U","ISSN":"01634453","author":[{"dropping-particle":"","family":"Davidson","given":"Marilyn M.","non-dropping-particle":"","parse-names":false,"suffix":""},{"dropping-particle":"","family":"Williams","given":"Harry","non-dropping-particle":"","parse-names":false,"suffix":""},{"dropping-particle":"","family":"Macleod","given":"John A.J.","non-dropping-particle":"","parse-names":false,"suffix":""}],"container-title":"Journal of Infection","id":"ITEM-1","issue":"3","issued":{"date-parts":[["1991","11"]]},"page":"241-249","title":"Louping ill in man: A forgotten disease","type":"article-journal","volume":"23"},"uris":["http://www.mendeley.com/documents/?uuid=6d8ce069-e1d1-4f86-bce4-98d97b119227"]}],"mendeley":{"formattedCitation":"[35]","plainTextFormattedCitation":"[35]","previouslyFormattedCitation":"[35]"},"properties":{"noteIndex":0},"schema":"https://github.com/citation-style-language/schema/raw/master/csl-citation.json"}</w:instrText>
            </w:r>
            <w:r w:rsidR="00422D22" w:rsidRPr="00373798">
              <w:rPr>
                <w:rFonts w:ascii="Aptos" w:hAnsi="Aptos" w:cs="Arial"/>
                <w:sz w:val="20"/>
                <w:szCs w:val="20"/>
              </w:rPr>
              <w:fldChar w:fldCharType="separate"/>
            </w:r>
            <w:r w:rsidR="00FE4AC7" w:rsidRPr="00373798">
              <w:rPr>
                <w:rFonts w:ascii="Aptos" w:hAnsi="Aptos" w:cs="Arial"/>
                <w:noProof/>
                <w:sz w:val="20"/>
                <w:szCs w:val="20"/>
              </w:rPr>
              <w:t>[35]</w:t>
            </w:r>
            <w:r w:rsidR="00422D22" w:rsidRPr="00373798">
              <w:rPr>
                <w:rFonts w:ascii="Aptos" w:hAnsi="Aptos" w:cs="Arial"/>
                <w:sz w:val="20"/>
                <w:szCs w:val="20"/>
              </w:rPr>
              <w:fldChar w:fldCharType="end"/>
            </w:r>
            <w:r w:rsidRPr="00373798">
              <w:rPr>
                <w:rFonts w:ascii="Aptos" w:hAnsi="Aptos" w:cs="Arial"/>
                <w:sz w:val="20"/>
                <w:szCs w:val="20"/>
              </w:rPr>
              <w:t>.</w:t>
            </w:r>
          </w:p>
          <w:p w14:paraId="3849B2F5" w14:textId="08537C42" w:rsidR="00183203" w:rsidRPr="00373798" w:rsidRDefault="00183203" w:rsidP="00183203">
            <w:pPr>
              <w:rPr>
                <w:rFonts w:ascii="Aptos" w:hAnsi="Aptos" w:cs="Arial"/>
                <w:sz w:val="20"/>
                <w:szCs w:val="20"/>
              </w:rPr>
            </w:pPr>
            <w:r w:rsidRPr="00373798">
              <w:rPr>
                <w:rFonts w:ascii="Aptos" w:hAnsi="Aptos" w:cs="Arial"/>
                <w:sz w:val="20"/>
                <w:szCs w:val="20"/>
              </w:rPr>
              <w:t xml:space="preserve">It is noteworthy that to the best of our knowledge, there is an absence of studies that have systematically compared a representative panel of strains from different TBEV subtypes under </w:t>
            </w:r>
            <w:r w:rsidR="003A4F00" w:rsidRPr="00373798">
              <w:rPr>
                <w:rFonts w:ascii="Aptos" w:hAnsi="Aptos" w:cs="Arial"/>
                <w:sz w:val="20"/>
                <w:szCs w:val="20"/>
              </w:rPr>
              <w:t>standardized</w:t>
            </w:r>
            <w:r w:rsidRPr="00373798">
              <w:rPr>
                <w:rFonts w:ascii="Aptos" w:hAnsi="Aptos" w:cs="Arial"/>
                <w:sz w:val="20"/>
                <w:szCs w:val="20"/>
              </w:rPr>
              <w:t xml:space="preserve"> conditions in a laboratory animal model and have consistently demonstrated distinct, subtype-specific clinical manifestations. The experimental observations frequently invoked to substantiate such distinctions were obtained on a limited number of strains, sometimes decades apart, in different laboratories, and under varied protocols. Given the well-known strain-to-strain variability within a single subtype </w:t>
            </w:r>
            <w:r w:rsidR="00422D22"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{"citationItems":[{"id":"ITEM-1","itemData":{"DOI":"10.1016/j.virol.2006.12.013","ISSN":"00426822","abstract":"Two tick-borne encephalitis (TBE) virus variants were studied: mouse brain-adapted strain EK-328 and its derivate adapted to Hyalomma marginatum ticks. The tick-adapted virus exhibited small-plaque phenotype and slower replication in PEK cells, higher yield in ticks, decreased neuroinvasiveness in mice, increased binding to heparin-sepharose. A total of 15 nucleotide substitutions distinguished genomes of these variants, six substitutions resulted in protein sequence alterations, and two were in 5′NTR. Two amino acid substitutions in E protein were responsible for the observed phenotypic differences. Data obtained during reverse passaging of the tick-adapted virus in vivo and in vitro suggest that TBE virus exists as a heterogeneous population that contains virus variants most adapted to reproduction in either ticks or mammals. Host switch results in a change in the ratio of these variants in the population. Plaque purification of the tick-adapted virus resulted in the prompt emergence of new mutants with different virulence for mammals. © 2007 Elsevier Inc. All rights reserved.","author":[{"dropping-particle":"","family":"Romanova","given":"Lidiya Iu","non-dropping-particle":"","parse-names":false,"suffix":""},{"dropping-particle":"","family":"Gmyl","given":"Anatoly P.","non-dropping-particle":"","parse-names":false,"suffix":""},{"dropping-particle":"","family":"Dzhivanian","given":"Tatiana I.","non-dropping-particle":"","parse-names":false,"suffix":""},{"dropping-particle":"V.","family":"Bakhmutov","given":"Denis","non-dropping-particle":"","parse-names":false,"suffix":""},{"dropping-particle":"","family":"Lukashev","given":"Alexander N.","non-dropping-particle":"","parse-names":false,"suffix":""},{"dropping-particle":"V.","family":"Gmyl","given":"Larissa","non-dropping-particle":"","parse-names":false,"suffix":""},{"dropping-particle":"","family":"Rumyantsev","given":"Alexander A.","non-dropping-particle":"","parse-names":false,"suffix":""},{"dropping-particle":"","family":"Burenkova","given":"Ludmila A.","non-dropping-particle":"","parse-names":false,"suffix":""},{"dropping-particle":"","family":"Lashkevich","given":"Vasilii A.","non-dropping-particle":"","parse-names":false,"suffix":""},{"dropping-particle":"","family":"Karganova","given":"Galina G.","non-dropping-particle":"","parse-names":false,"suffix":""}],"container-title":"Virology","id":"ITEM-1","issue":"1","issued":{"date-parts":[["2007","5"]]},"page":"75-84","title":"Microevolution of tick-borne encephalitis virus in course of host alternation","type":"article-journal","volume":"362"},"uris":["http://www.mendeley.com/documents/?uuid=a6e7ac7a-af94-404a-bca6-23e6d8f94e6f"]}],"mendeley":{"formattedCitation":"[36]","plainTextFormattedCitation":"[36]","previouslyFormattedCitation":"[36]"},"properties":{"noteIndex":0},"schema":"https://github.com/citation-style-language/schema/raw/master/csl-citation.json"}</w:instrText>
            </w:r>
            <w:r w:rsidR="00422D22" w:rsidRPr="00373798">
              <w:rPr>
                <w:rFonts w:ascii="Aptos" w:hAnsi="Aptos" w:cs="Arial"/>
                <w:sz w:val="20"/>
                <w:szCs w:val="20"/>
              </w:rPr>
              <w:fldChar w:fldCharType="separate"/>
            </w:r>
            <w:r w:rsidR="00FE4AC7" w:rsidRPr="00373798">
              <w:rPr>
                <w:rFonts w:ascii="Aptos" w:hAnsi="Aptos" w:cs="Arial"/>
                <w:noProof/>
                <w:sz w:val="20"/>
                <w:szCs w:val="20"/>
              </w:rPr>
              <w:t>[36]</w:t>
            </w:r>
            <w:r w:rsidR="00422D22" w:rsidRPr="00373798">
              <w:rPr>
                <w:rFonts w:ascii="Aptos" w:hAnsi="Aptos" w:cs="Arial"/>
                <w:sz w:val="20"/>
                <w:szCs w:val="20"/>
              </w:rPr>
              <w:fldChar w:fldCharType="end"/>
            </w:r>
            <w:r w:rsidRPr="00373798">
              <w:rPr>
                <w:rFonts w:ascii="Aptos" w:hAnsi="Aptos" w:cs="Arial"/>
                <w:sz w:val="20"/>
                <w:szCs w:val="20"/>
              </w:rPr>
              <w:t>, these observations cannot be taken as reliable evidence that the clinical phenotype is stably linked to subtype affiliation.</w:t>
            </w:r>
          </w:p>
          <w:p w14:paraId="7E632197" w14:textId="1F870FFA" w:rsidR="00183203" w:rsidRPr="00373798" w:rsidRDefault="00183203" w:rsidP="00183203">
            <w:pPr>
              <w:rPr>
                <w:rFonts w:ascii="Aptos" w:hAnsi="Aptos" w:cs="Arial"/>
                <w:sz w:val="20"/>
                <w:szCs w:val="20"/>
              </w:rPr>
            </w:pPr>
            <w:r w:rsidRPr="00373798">
              <w:rPr>
                <w:rFonts w:ascii="Aptos" w:hAnsi="Aptos" w:cs="Arial"/>
                <w:sz w:val="20"/>
                <w:szCs w:val="20"/>
              </w:rPr>
              <w:t xml:space="preserve">The contemporary Russian surveillance data lends further support to this assertion. In 2023 and 2024, fatal TBE cases were documented across the entire geographic range of the virus, extending from the European North-West to the Far East. </w:t>
            </w:r>
            <w:r w:rsidR="00BD3A2E">
              <w:rPr>
                <w:rFonts w:ascii="Aptos" w:hAnsi="Aptos" w:cs="Arial"/>
                <w:sz w:val="20"/>
                <w:szCs w:val="20"/>
              </w:rPr>
              <w:t>CFRs</w:t>
            </w:r>
            <w:r w:rsidRPr="00373798">
              <w:rPr>
                <w:rFonts w:ascii="Aptos" w:hAnsi="Aptos" w:cs="Arial"/>
                <w:sz w:val="20"/>
                <w:szCs w:val="20"/>
              </w:rPr>
              <w:t xml:space="preserve"> in regions where TBEV-Eur predominates (e.g., Arkhangelsk, Vologda, Leningrad regions) were comparable to those observed in regions endemic for TBEV-Sib (Chelyabinsk, Novosibirsk, Perm regions) and TBEV-FE (Krasnoyarsk, Irkutsk, </w:t>
            </w:r>
            <w:proofErr w:type="spellStart"/>
            <w:r w:rsidRPr="00373798">
              <w:rPr>
                <w:rFonts w:ascii="Aptos" w:hAnsi="Aptos" w:cs="Arial"/>
                <w:sz w:val="20"/>
                <w:szCs w:val="20"/>
              </w:rPr>
              <w:t>Primorye</w:t>
            </w:r>
            <w:proofErr w:type="spellEnd"/>
            <w:r w:rsidRPr="00373798">
              <w:rPr>
                <w:rFonts w:ascii="Aptos" w:hAnsi="Aptos" w:cs="Arial"/>
                <w:sz w:val="20"/>
                <w:szCs w:val="20"/>
              </w:rPr>
              <w:t xml:space="preserve"> regions) </w:t>
            </w:r>
            <w:r w:rsidR="00422D22" w:rsidRPr="00373798">
              <w:rPr>
                <w:rFonts w:ascii="Aptos" w:hAnsi="Aptos" w:cs="Arial"/>
                <w:sz w:val="20"/>
                <w:szCs w:val="20"/>
              </w:rPr>
              <w:fldChar w:fldCharType="begin" w:fldLock="1"/>
            </w:r>
            <w:r w:rsidR="006021DB" w:rsidRPr="00373798">
              <w:rPr>
                <w:rFonts w:ascii="Aptos" w:hAnsi="Aptos" w:cs="Arial"/>
                <w:sz w:val="20"/>
                <w:szCs w:val="20"/>
              </w:rPr>
              <w:instrText>ADDIN CSL_CITATION {"citationItems":[{"id":"ITEM-1","itemData":{"DOI":"10.21055/0370-1069-2024-1-48-58","ISSN":"2658-719X","abstract":"The aim of the review was to conduct a comparative analysis of the epidemiological situation on tick-borne encephalitis (TBE) over 2014–2023 in the constituent entities of the Russian Federation located in the European and Asian parts of the country and to give a forecast of incidence for 2024. The incidence of TBE in 2023 only marginally decreased as compared to the peak values in 2022, which leveled down the ten-year trend towards reduction. Grouping of the entities of the Russian Federation according to the average incidence of TBE over a decade made it possible to classify 17 of them as regions of low, 15 – of medium, and 17 – of high epidemiological risk. In general, the epidemiological situation regarding TBE is more unfavorable in the Asian part of the country. A list of species of Ixodidae ticks, the main vectors of the tick-borne encephalitis virus, is provided, as well as subtypes and genetic variants of the latter, identified in the European and Asian parts of the country. The peculiarities of the epidemiological situation on TBE and the scope of preventive measures undertaken in Russia in 2023 are considered. It is shown that there are no clearly outlined trends in the nature of changes in the incidence of TBE in endemic federal districts and entities of the country, and the expected incidence rates in 2024 will remain at the long-term average level.","author":[{"dropping-particle":"","family":"Nikitin","given":"A. Ya.","non-dropping-particle":"","parse-names":false,"suffix":""},{"dropping-particle":"","family":"Andaev","given":"E. I.","non-dropping-particle":"","parse-names":false,"suffix":""},{"dropping-particle":"","family":"Tolmacheva","given":"M. I.","non-dropping-particle":"","parse-names":false,"suffix":""},{"dropping-particle":"","family":"Zarva","given":"I. D.","non-dropping-particle":"","parse-names":false,"suffix":""},{"dropping-particle":"","family":"Bondaryuk","given":"A. N.","non-dropping-particle":"","parse-names":false,"suffix":""},{"dropping-particle":"V.","family":"Yatsmenko","given":"E.","non-dropping-particle":"","parse-names":false,"suffix":""},{"dropping-particle":"","family":"Matveeva","given":"V. A.","non-dropping-particle":"","parse-names":false,"suffix":""},{"dropping-particle":"","family":"Sidorova","given":"E. A.","non-dropping-particle":"","parse-names":false,"suffix":""},{"dropping-particle":"V.","family":"Adel’shin","given":"R.","non-dropping-particle":"","parse-names":false,"suffix":""},{"dropping-particle":"","family":"Kolesnikova","given":"V. Yu.","non-dropping-particle":"","parse-names":false,"suffix":""},{"dropping-particle":"V.","family":"Balakhonov","given":"S.","non-dropping-particle":"","parse-names":false,"suffix":""}],"container-title":"Problems of Particularly Dangerous Infections","id":"ITEM-1","issue":"1","issued":{"date-parts":[["2024","4","1"]]},"page":"48-58","title":"Epidemiological Situation on Tick-Borne Encephalitis in the Russian Federation in 2014–2023 and Short-Term Forecast of the Incidence for 2024","type":"article-journal"},"uris":["http://www.mendeley.com/documents/?uuid=04cf6a97-8f71-4d2a-b32d-8868e12b793c"]},{"id":"ITEM-2","itemData":{"DOI":"10.21055/0370-1069-2025-1-6-17","ISSN":"2658-719X","abstract":"The aim of the review is to conduct a comparative analysis of the epidemiological situation on tick-borne viral encephalitis (TBVE) in the constituent entities of the Russian Federation in 2015–2024 and to provide a forecast of the incidence rate for 2025. According to the data for 2015–2024, the number of visits to medical organizations by people that suffered from tick bites remained approximately at the same level and averaged 491,871.2 cases per year. The Siberian, Volga, and Ural Federal Districts are of primary importance for the formation of the incidence rate, accounting for more than 75 % of all cases. In 2024, 1 659 patients with TBVE were identified, which is only slightly less than in the previous year (1 778). The morbidity rate per 100 thousand population (1.13) was lower than the long-term average for the period of 2015–2024 (1.17). 46 lethal outcomes were registered (mortality rate 2.7 %), which is 1.3 times higher than the long-term average. The epidemic process in 2024 was most active in the territories of 11 entities of the Russian Federation: Krasnoyarsk and Perm Territories, Sverdlovsk, Kirov, Irkutsk, Novosibirsk and Kemerovo Regions, TransBaikal Territory, St. Petersburg city, Udmurt Republic, and Arkhangelsk Region. The number of virus containing ticks removed from people and from environmental objects, when studied using PCR and ELISA, in the Russian Federation as a whole in 2024 did not exceed the long-term average value. The infection rate of ticks removed from people has statistically significantly decreased over a ten-year period. The review examines the volumes of specific and non-specific TBVE prevention measures taken in Russia in 2024 and compares them with the data from previous years. It is predicted that the situation on TBVE incidence in 2025 will remain at the average long-term level in six federal districts of the country. However, in the Far Eastern Federal District, mainly due to the change in the epidemiological situation in the TransBaikal Territory, a statistically significant trend towards an increase in the morbidity and mortality has emerged, which is taken into account when making the forecast of the TBVE incidence rate for this federal district in 2025.","author":[{"dropping-particle":"","family":"Andaev","given":"E. I.","non-dropping-particle":"","parse-names":false,"suffix":""},{"dropping-particle":"","family":"Nikitin","given":"A. Ya.","non-dropping-particle":"","parse-names":false,"suffix":""},{"dropping-particle":"","family":"Tolmacheva","given":"M. I.","non-dropping-particle":"","parse-names":false,"suffix":""},{"dropping-particle":"","family":"Zarva","given":"I. D.","non-dropping-particle":"","parse-names":false,"suffix":""},{"dropping-particle":"","family":"Sidorova","given":"E. A.","non-dropping-particle":"","parse-names":false,"suffix":""},{"dropping-particle":"","family":"Bondaryuk","given":"A. N.","non-dropping-particle":"","parse-names":false,"suffix":""},{"dropping-particle":"V.","family":"Yatsmenko","given":"E.","non-dropping-particle":"","parse-names":false,"suffix":""},{"dropping-particle":"V.","family":"Sevostianova","given":"A.","non-dropping-particle":"","parse-names":false,"suffix":""},{"dropping-particle":"V.","family":"Lopatovskaya","given":"K.","non-dropping-particle":"","parse-names":false,"suffix":""},{"dropping-particle":"","family":"Babash","given":"V. A.","non-dropping-particle":"","parse-names":false,"suffix":""},{"dropping-particle":"V.","family":"Balakhonov","given":"S.","non-dropping-particle":"","parse-names":false,"suffix":""}],"container-title":"Problems of Particularly Dangerous Infections","id":"ITEM-2","issue":"1","issued":{"date-parts":[["2025","3","27"]]},"page":"6-17","title":"Epidemiological Situation on Tick-Borne Viral Encephalitis in the Russian Federation over the Period of 2015–2024 and Short-Term Incidence Forecast for 2025","type":"article-journal"},"uris":["http://www.mendeley.com/documents/?uuid=487e9776-5187-40ad-89a7-620c1949d664"]}],"mendeley":{"formattedCitation":"[18, 37]","plainTextFormattedCitation":"[18, 37]","previouslyFormattedCitation":"[18, 37]"},"properties":{"noteIndex":0},"schema":"https://github.com/citation-style-language/schema/raw/master/csl-citation.json"}</w:instrText>
            </w:r>
            <w:r w:rsidR="00422D22" w:rsidRPr="00373798">
              <w:rPr>
                <w:rFonts w:ascii="Aptos" w:hAnsi="Aptos" w:cs="Arial"/>
                <w:sz w:val="20"/>
                <w:szCs w:val="20"/>
              </w:rPr>
              <w:fldChar w:fldCharType="separate"/>
            </w:r>
            <w:r w:rsidR="00FE4AC7" w:rsidRPr="00373798">
              <w:rPr>
                <w:rFonts w:ascii="Aptos" w:hAnsi="Aptos" w:cs="Arial"/>
                <w:noProof/>
                <w:sz w:val="20"/>
                <w:szCs w:val="20"/>
              </w:rPr>
              <w:t>[18, 37]</w:t>
            </w:r>
            <w:r w:rsidR="00422D22" w:rsidRPr="00373798">
              <w:rPr>
                <w:rFonts w:ascii="Aptos" w:hAnsi="Aptos" w:cs="Arial"/>
                <w:sz w:val="20"/>
                <w:szCs w:val="20"/>
              </w:rPr>
              <w:fldChar w:fldCharType="end"/>
            </w:r>
            <w:r w:rsidRPr="00373798">
              <w:rPr>
                <w:rFonts w:ascii="Aptos" w:hAnsi="Aptos" w:cs="Arial"/>
                <w:sz w:val="20"/>
                <w:szCs w:val="20"/>
              </w:rPr>
              <w:t>. In regions where the number of lethal cases per year exceeds three</w:t>
            </w:r>
            <w:r w:rsidR="003A4F00">
              <w:rPr>
                <w:rFonts w:ascii="Aptos" w:hAnsi="Aptos" w:cs="Arial"/>
                <w:sz w:val="20"/>
                <w:szCs w:val="20"/>
              </w:rPr>
              <w:t xml:space="preserve"> (to exclude statistical artefacts)</w:t>
            </w:r>
            <w:r w:rsidRPr="00373798">
              <w:rPr>
                <w:rFonts w:ascii="Aptos" w:hAnsi="Aptos" w:cs="Arial"/>
                <w:sz w:val="20"/>
                <w:szCs w:val="20"/>
              </w:rPr>
              <w:t xml:space="preserve">, the mortality rate typically remains </w:t>
            </w:r>
            <w:r w:rsidR="00E32E81" w:rsidRPr="00373798">
              <w:rPr>
                <w:rFonts w:ascii="Aptos" w:hAnsi="Aptos" w:cs="Arial"/>
                <w:sz w:val="20"/>
                <w:szCs w:val="20"/>
              </w:rPr>
              <w:t>low</w:t>
            </w:r>
            <w:r w:rsidRPr="00373798">
              <w:rPr>
                <w:rFonts w:ascii="Aptos" w:hAnsi="Aptos" w:cs="Arial"/>
                <w:sz w:val="20"/>
                <w:szCs w:val="20"/>
              </w:rPr>
              <w:t xml:space="preserve">. For instance, the nationwide average in 2024 was recorded at 2.7%. High </w:t>
            </w:r>
            <w:r w:rsidR="00BD3A2E">
              <w:rPr>
                <w:rFonts w:ascii="Aptos" w:hAnsi="Aptos" w:cs="Arial"/>
                <w:sz w:val="20"/>
                <w:szCs w:val="20"/>
              </w:rPr>
              <w:t>CFRs</w:t>
            </w:r>
            <w:r w:rsidRPr="00373798">
              <w:rPr>
                <w:rFonts w:ascii="Aptos" w:hAnsi="Aptos" w:cs="Arial"/>
                <w:sz w:val="20"/>
                <w:szCs w:val="20"/>
              </w:rPr>
              <w:t xml:space="preserve"> were only evident in regions where there were one or two fatal cases reported, alongside several cases of non-fatal infection. The data does not indicate any consistent, subtype-driven variation in disease severity. </w:t>
            </w:r>
          </w:p>
          <w:p w14:paraId="57AA55B0" w14:textId="6009DCCB" w:rsidR="00183203" w:rsidRPr="00373798" w:rsidRDefault="00183203" w:rsidP="00183203">
            <w:pPr>
              <w:rPr>
                <w:rFonts w:ascii="Aptos" w:hAnsi="Aptos" w:cs="Arial"/>
                <w:sz w:val="20"/>
                <w:szCs w:val="20"/>
              </w:rPr>
            </w:pPr>
            <w:r w:rsidRPr="00373798">
              <w:rPr>
                <w:rFonts w:ascii="Aptos" w:hAnsi="Aptos" w:cs="Arial"/>
                <w:sz w:val="20"/>
                <w:szCs w:val="20"/>
              </w:rPr>
              <w:t xml:space="preserve">When considered as a whole, the observations indicate that the clinical picture across the </w:t>
            </w:r>
            <w:r w:rsidRPr="00BD3A2E">
              <w:rPr>
                <w:rFonts w:ascii="Aptos" w:hAnsi="Aptos" w:cs="Arial"/>
                <w:i/>
                <w:iCs/>
                <w:sz w:val="20"/>
                <w:szCs w:val="20"/>
              </w:rPr>
              <w:t xml:space="preserve">Orthoflavivirus </w:t>
            </w:r>
            <w:proofErr w:type="spellStart"/>
            <w:r w:rsidRPr="00BD3A2E">
              <w:rPr>
                <w:rFonts w:ascii="Aptos" w:hAnsi="Aptos" w:cs="Arial"/>
                <w:i/>
                <w:iCs/>
                <w:sz w:val="20"/>
                <w:szCs w:val="20"/>
              </w:rPr>
              <w:t>eurasiaticus</w:t>
            </w:r>
            <w:proofErr w:type="spellEnd"/>
            <w:r w:rsidRPr="00373798">
              <w:rPr>
                <w:rFonts w:ascii="Aptos" w:hAnsi="Aptos" w:cs="Arial"/>
                <w:sz w:val="20"/>
                <w:szCs w:val="20"/>
              </w:rPr>
              <w:t xml:space="preserve"> varies in emphasis </w:t>
            </w:r>
            <w:r w:rsidR="008012DD" w:rsidRPr="00373798">
              <w:rPr>
                <w:rFonts w:ascii="Aptos" w:hAnsi="Aptos" w:cs="Arial"/>
                <w:sz w:val="20"/>
                <w:szCs w:val="20"/>
              </w:rPr>
              <w:t>(</w:t>
            </w:r>
            <w:r w:rsidRPr="00373798">
              <w:rPr>
                <w:rFonts w:ascii="Aptos" w:hAnsi="Aptos" w:cs="Arial"/>
                <w:sz w:val="20"/>
                <w:szCs w:val="20"/>
              </w:rPr>
              <w:t xml:space="preserve">towards </w:t>
            </w:r>
            <w:proofErr w:type="spellStart"/>
            <w:r w:rsidRPr="00373798">
              <w:rPr>
                <w:rFonts w:ascii="Aptos" w:hAnsi="Aptos" w:cs="Arial"/>
                <w:sz w:val="20"/>
                <w:szCs w:val="20"/>
              </w:rPr>
              <w:t>haemorrhage</w:t>
            </w:r>
            <w:proofErr w:type="spellEnd"/>
            <w:r w:rsidRPr="00373798">
              <w:rPr>
                <w:rFonts w:ascii="Aptos" w:hAnsi="Aptos" w:cs="Arial"/>
                <w:sz w:val="20"/>
                <w:szCs w:val="20"/>
              </w:rPr>
              <w:t xml:space="preserve">, towards </w:t>
            </w:r>
            <w:proofErr w:type="spellStart"/>
            <w:r w:rsidRPr="00373798">
              <w:rPr>
                <w:rFonts w:ascii="Aptos" w:hAnsi="Aptos" w:cs="Arial"/>
                <w:sz w:val="20"/>
                <w:szCs w:val="20"/>
              </w:rPr>
              <w:t>neuroinvasion</w:t>
            </w:r>
            <w:proofErr w:type="spellEnd"/>
            <w:r w:rsidRPr="00373798">
              <w:rPr>
                <w:rFonts w:ascii="Aptos" w:hAnsi="Aptos" w:cs="Arial"/>
                <w:sz w:val="20"/>
                <w:szCs w:val="20"/>
              </w:rPr>
              <w:t>, towards biphasic fever</w:t>
            </w:r>
            <w:r w:rsidR="008012DD" w:rsidRPr="00373798">
              <w:rPr>
                <w:rFonts w:ascii="Aptos" w:hAnsi="Aptos" w:cs="Arial"/>
                <w:sz w:val="20"/>
                <w:szCs w:val="20"/>
              </w:rPr>
              <w:t>)</w:t>
            </w:r>
            <w:r w:rsidRPr="00373798">
              <w:rPr>
                <w:rFonts w:ascii="Aptos" w:hAnsi="Aptos" w:cs="Arial"/>
                <w:sz w:val="20"/>
                <w:szCs w:val="20"/>
              </w:rPr>
              <w:t xml:space="preserve"> rather than breaking cleanly along species lines. The phenomenon of divergent tissue tropism among populations that remain subject to the same fundamental selective constraints offers a reasonable explanation for this pattern. The documentation of such variations at the </w:t>
            </w:r>
            <w:r w:rsidR="00736436">
              <w:rPr>
                <w:rFonts w:ascii="Aptos" w:hAnsi="Aptos" w:cs="Arial"/>
                <w:sz w:val="20"/>
                <w:szCs w:val="20"/>
              </w:rPr>
              <w:t>subspecies</w:t>
            </w:r>
            <w:r w:rsidRPr="00373798">
              <w:rPr>
                <w:rFonts w:ascii="Aptos" w:hAnsi="Aptos" w:cs="Arial"/>
                <w:sz w:val="20"/>
                <w:szCs w:val="20"/>
              </w:rPr>
              <w:t xml:space="preserve"> level preserves medically and </w:t>
            </w:r>
            <w:r w:rsidR="00BD3A2E" w:rsidRPr="00373798">
              <w:rPr>
                <w:rFonts w:ascii="Aptos" w:hAnsi="Aptos" w:cs="Arial"/>
                <w:sz w:val="20"/>
                <w:szCs w:val="20"/>
              </w:rPr>
              <w:t>veterinary</w:t>
            </w:r>
            <w:r w:rsidRPr="00373798">
              <w:rPr>
                <w:rFonts w:ascii="Aptos" w:hAnsi="Aptos" w:cs="Arial"/>
                <w:sz w:val="20"/>
                <w:szCs w:val="20"/>
              </w:rPr>
              <w:t xml:space="preserve"> relevant information without </w:t>
            </w:r>
            <w:r w:rsidR="003A4F00" w:rsidRPr="00373798">
              <w:rPr>
                <w:rFonts w:ascii="Aptos" w:hAnsi="Aptos" w:cs="Arial"/>
                <w:sz w:val="20"/>
                <w:szCs w:val="20"/>
              </w:rPr>
              <w:t>categorizing</w:t>
            </w:r>
            <w:r w:rsidRPr="00373798">
              <w:rPr>
                <w:rFonts w:ascii="Aptos" w:hAnsi="Aptos" w:cs="Arial"/>
                <w:sz w:val="20"/>
                <w:szCs w:val="20"/>
              </w:rPr>
              <w:t xml:space="preserve"> as species-defining features phenotypes that, upon closer examination, exhibit overlap. This standpoint is in accordance with the ICTV guidance that disease association should be evaluated alongside the other demarcation criteria, rather than being used as a standalone arbiter of species status.</w:t>
            </w:r>
          </w:p>
          <w:p w14:paraId="60FD292E" w14:textId="77777777" w:rsidR="008012DD" w:rsidRPr="00373798" w:rsidRDefault="008012DD" w:rsidP="00183203">
            <w:pPr>
              <w:rPr>
                <w:rFonts w:ascii="Aptos" w:hAnsi="Aptos" w:cs="Arial"/>
                <w:sz w:val="20"/>
                <w:szCs w:val="20"/>
              </w:rPr>
            </w:pPr>
          </w:p>
          <w:p w14:paraId="1F9B2BC6" w14:textId="686FC427" w:rsidR="008012DD" w:rsidRPr="00373798" w:rsidRDefault="008012DD" w:rsidP="008012DD">
            <w:pPr>
              <w:rPr>
                <w:rFonts w:ascii="Aptos" w:hAnsi="Aptos" w:cs="Arial"/>
                <w:sz w:val="20"/>
                <w:szCs w:val="20"/>
                <w:u w:val="single"/>
              </w:rPr>
            </w:pPr>
            <w:r w:rsidRPr="00373798">
              <w:rPr>
                <w:rFonts w:ascii="Aptos" w:hAnsi="Aptos" w:cs="Arial"/>
                <w:sz w:val="20"/>
                <w:szCs w:val="20"/>
                <w:u w:val="single"/>
              </w:rPr>
              <w:t>3.4 Geographic association</w:t>
            </w:r>
          </w:p>
          <w:p w14:paraId="1EEB0022" w14:textId="3A1D8F56" w:rsidR="008012DD" w:rsidRPr="00373798" w:rsidRDefault="008012DD" w:rsidP="008012DD">
            <w:pPr>
              <w:rPr>
                <w:rFonts w:ascii="Aptos" w:hAnsi="Aptos" w:cs="Arial"/>
                <w:sz w:val="20"/>
                <w:szCs w:val="20"/>
              </w:rPr>
            </w:pPr>
            <w:r w:rsidRPr="00BD3A2E">
              <w:rPr>
                <w:rFonts w:ascii="Aptos" w:hAnsi="Aptos" w:cs="Arial"/>
                <w:i/>
                <w:iCs/>
                <w:sz w:val="20"/>
                <w:szCs w:val="20"/>
              </w:rPr>
              <w:t xml:space="preserve">Orthoflavivirus </w:t>
            </w:r>
            <w:proofErr w:type="spellStart"/>
            <w:r w:rsidRPr="00BD3A2E">
              <w:rPr>
                <w:rFonts w:ascii="Aptos" w:hAnsi="Aptos" w:cs="Arial"/>
                <w:i/>
                <w:iCs/>
                <w:sz w:val="20"/>
                <w:szCs w:val="20"/>
              </w:rPr>
              <w:t>eurasiaticus</w:t>
            </w:r>
            <w:proofErr w:type="spellEnd"/>
            <w:r w:rsidRPr="00373798">
              <w:rPr>
                <w:rFonts w:ascii="Aptos" w:hAnsi="Aptos" w:cs="Arial"/>
                <w:sz w:val="20"/>
                <w:szCs w:val="20"/>
              </w:rPr>
              <w:t xml:space="preserve"> spans the entire Eurasian range of the clade, from the British Isles and the Mediterranean to Japan. The geographically structured distribution of </w:t>
            </w:r>
            <w:proofErr w:type="spellStart"/>
            <w:r w:rsidR="00736436">
              <w:rPr>
                <w:rFonts w:ascii="Aptos" w:hAnsi="Aptos" w:cs="Arial"/>
                <w:sz w:val="20"/>
                <w:szCs w:val="20"/>
              </w:rPr>
              <w:t>subspecies</w:t>
            </w:r>
            <w:r w:rsidRPr="00373798">
              <w:rPr>
                <w:rFonts w:ascii="Aptos" w:hAnsi="Aptos" w:cs="Arial"/>
                <w:sz w:val="20"/>
                <w:szCs w:val="20"/>
              </w:rPr>
              <w:t>s</w:t>
            </w:r>
            <w:proofErr w:type="spellEnd"/>
            <w:r w:rsidRPr="00373798">
              <w:rPr>
                <w:rFonts w:ascii="Aptos" w:hAnsi="Aptos" w:cs="Arial"/>
                <w:sz w:val="20"/>
                <w:szCs w:val="20"/>
              </w:rPr>
              <w:t xml:space="preserve"> is a natural consequence of vector and host biogeography. By assigning these lineages to </w:t>
            </w:r>
            <w:proofErr w:type="spellStart"/>
            <w:r w:rsidR="00736436">
              <w:rPr>
                <w:rFonts w:ascii="Aptos" w:hAnsi="Aptos" w:cs="Arial"/>
                <w:sz w:val="20"/>
                <w:szCs w:val="20"/>
              </w:rPr>
              <w:t>subspecies</w:t>
            </w:r>
            <w:r w:rsidRPr="00373798">
              <w:rPr>
                <w:rFonts w:ascii="Aptos" w:hAnsi="Aptos" w:cs="Arial"/>
                <w:sz w:val="20"/>
                <w:szCs w:val="20"/>
              </w:rPr>
              <w:t>s</w:t>
            </w:r>
            <w:proofErr w:type="spellEnd"/>
            <w:r w:rsidRPr="00373798">
              <w:rPr>
                <w:rFonts w:ascii="Aptos" w:hAnsi="Aptos" w:cs="Arial"/>
                <w:sz w:val="20"/>
                <w:szCs w:val="20"/>
              </w:rPr>
              <w:t xml:space="preserve"> rather than species, the framework acknowledges geographic partitioning without treating it as a sufficient condition for speciation — an approach consistent with the handling of other zoonotic viruses (e.g., rabies virus, yellow fever virus) that display pronounced phylogeographic structure</w:t>
            </w:r>
            <w:r w:rsidR="003A4F00">
              <w:rPr>
                <w:rFonts w:ascii="Aptos" w:hAnsi="Aptos" w:cs="Arial"/>
                <w:sz w:val="20"/>
                <w:szCs w:val="20"/>
              </w:rPr>
              <w:t xml:space="preserve"> within a single species</w:t>
            </w:r>
            <w:r w:rsidRPr="00373798">
              <w:rPr>
                <w:rFonts w:ascii="Aptos" w:hAnsi="Aptos" w:cs="Arial"/>
                <w:sz w:val="20"/>
                <w:szCs w:val="20"/>
              </w:rPr>
              <w:t>.</w:t>
            </w:r>
          </w:p>
          <w:p w14:paraId="4810410C" w14:textId="77777777" w:rsidR="008012DD" w:rsidRPr="00373798" w:rsidRDefault="008012DD" w:rsidP="008012DD">
            <w:pPr>
              <w:rPr>
                <w:rFonts w:ascii="Aptos" w:hAnsi="Aptos" w:cs="Arial"/>
                <w:sz w:val="20"/>
                <w:szCs w:val="20"/>
              </w:rPr>
            </w:pPr>
          </w:p>
          <w:p w14:paraId="3870CA7B" w14:textId="22C4F5C6" w:rsidR="008012DD" w:rsidRPr="00373798" w:rsidRDefault="008012DD" w:rsidP="008012DD">
            <w:pPr>
              <w:rPr>
                <w:rFonts w:ascii="Aptos" w:hAnsi="Aptos" w:cs="Arial"/>
                <w:sz w:val="20"/>
                <w:szCs w:val="20"/>
                <w:u w:val="single"/>
              </w:rPr>
            </w:pPr>
            <w:r w:rsidRPr="00373798">
              <w:rPr>
                <w:rFonts w:ascii="Aptos" w:hAnsi="Aptos" w:cs="Arial"/>
                <w:sz w:val="20"/>
                <w:szCs w:val="20"/>
                <w:u w:val="single"/>
              </w:rPr>
              <w:t>3.5 Vector and host association</w:t>
            </w:r>
          </w:p>
          <w:p w14:paraId="5A149804" w14:textId="1B10A97D" w:rsidR="008012DD" w:rsidRPr="00373798" w:rsidRDefault="00BD3A2E" w:rsidP="008012DD">
            <w:pPr>
              <w:rPr>
                <w:rFonts w:ascii="Aptos" w:hAnsi="Aptos" w:cs="Arial"/>
                <w:sz w:val="20"/>
                <w:szCs w:val="20"/>
              </w:rPr>
            </w:pPr>
            <w:r w:rsidRPr="00BD3A2E">
              <w:rPr>
                <w:rFonts w:ascii="Aptos" w:hAnsi="Aptos" w:cs="Arial"/>
                <w:i/>
                <w:iCs/>
                <w:sz w:val="20"/>
                <w:szCs w:val="20"/>
              </w:rPr>
              <w:t xml:space="preserve">Orthoflavivirus </w:t>
            </w:r>
            <w:proofErr w:type="spellStart"/>
            <w:r w:rsidRPr="00BD3A2E">
              <w:rPr>
                <w:rFonts w:ascii="Aptos" w:hAnsi="Aptos" w:cs="Arial"/>
                <w:i/>
                <w:iCs/>
                <w:sz w:val="20"/>
                <w:szCs w:val="20"/>
              </w:rPr>
              <w:t>eurasiaticus</w:t>
            </w:r>
            <w:proofErr w:type="spellEnd"/>
            <w:r w:rsidRPr="00373798">
              <w:rPr>
                <w:rFonts w:ascii="Aptos" w:hAnsi="Aptos" w:cs="Arial"/>
                <w:sz w:val="20"/>
                <w:szCs w:val="20"/>
              </w:rPr>
              <w:t xml:space="preserve"> </w:t>
            </w:r>
            <w:r w:rsidR="008012DD" w:rsidRPr="00373798">
              <w:rPr>
                <w:rFonts w:ascii="Aptos" w:hAnsi="Aptos" w:cs="Arial"/>
                <w:sz w:val="20"/>
                <w:szCs w:val="20"/>
              </w:rPr>
              <w:t xml:space="preserve">includes viruses transmitted by </w:t>
            </w:r>
            <w:r w:rsidR="008012DD" w:rsidRPr="00BD3A2E">
              <w:rPr>
                <w:rFonts w:ascii="Aptos" w:hAnsi="Aptos" w:cs="Arial"/>
                <w:i/>
                <w:iCs/>
                <w:sz w:val="20"/>
                <w:szCs w:val="20"/>
              </w:rPr>
              <w:t xml:space="preserve">Ixodes </w:t>
            </w:r>
            <w:proofErr w:type="spellStart"/>
            <w:r w:rsidR="008012DD" w:rsidRPr="00BD3A2E">
              <w:rPr>
                <w:rFonts w:ascii="Aptos" w:hAnsi="Aptos" w:cs="Arial"/>
                <w:i/>
                <w:iCs/>
                <w:sz w:val="20"/>
                <w:szCs w:val="20"/>
              </w:rPr>
              <w:t>ricinus</w:t>
            </w:r>
            <w:proofErr w:type="spellEnd"/>
            <w:r w:rsidR="008012DD" w:rsidRPr="00BD3A2E">
              <w:rPr>
                <w:rFonts w:ascii="Aptos" w:hAnsi="Aptos" w:cs="Arial"/>
                <w:i/>
                <w:iCs/>
                <w:sz w:val="20"/>
                <w:szCs w:val="20"/>
              </w:rPr>
              <w:t xml:space="preserve"> </w:t>
            </w:r>
            <w:r w:rsidR="008012DD" w:rsidRPr="00373798">
              <w:rPr>
                <w:rFonts w:ascii="Aptos" w:hAnsi="Aptos" w:cs="Arial"/>
                <w:sz w:val="20"/>
                <w:szCs w:val="20"/>
              </w:rPr>
              <w:t>(TBEV</w:t>
            </w:r>
            <w:r w:rsidR="008012DD" w:rsidRPr="00373798">
              <w:rPr>
                <w:rFonts w:ascii="Cambria Math" w:hAnsi="Cambria Math" w:cs="Cambria Math"/>
                <w:sz w:val="20"/>
                <w:szCs w:val="20"/>
              </w:rPr>
              <w:t>‑</w:t>
            </w:r>
            <w:r w:rsidR="008012DD" w:rsidRPr="00373798">
              <w:rPr>
                <w:rFonts w:ascii="Aptos" w:hAnsi="Aptos" w:cs="Arial"/>
                <w:sz w:val="20"/>
                <w:szCs w:val="20"/>
              </w:rPr>
              <w:t>Eur, LIV), I</w:t>
            </w:r>
            <w:r w:rsidR="008012DD" w:rsidRPr="00BD3A2E">
              <w:rPr>
                <w:rFonts w:ascii="Aptos" w:hAnsi="Aptos" w:cs="Arial"/>
                <w:i/>
                <w:iCs/>
                <w:sz w:val="20"/>
                <w:szCs w:val="20"/>
              </w:rPr>
              <w:t xml:space="preserve">. </w:t>
            </w:r>
            <w:proofErr w:type="spellStart"/>
            <w:r w:rsidR="008012DD" w:rsidRPr="00BD3A2E">
              <w:rPr>
                <w:rFonts w:ascii="Aptos" w:hAnsi="Aptos" w:cs="Arial"/>
                <w:i/>
                <w:iCs/>
                <w:sz w:val="20"/>
                <w:szCs w:val="20"/>
              </w:rPr>
              <w:t>persulcatus</w:t>
            </w:r>
            <w:proofErr w:type="spellEnd"/>
            <w:r w:rsidR="008012DD" w:rsidRPr="00BD3A2E">
              <w:rPr>
                <w:rFonts w:ascii="Aptos" w:hAnsi="Aptos" w:cs="Arial"/>
                <w:i/>
                <w:iCs/>
                <w:sz w:val="20"/>
                <w:szCs w:val="20"/>
              </w:rPr>
              <w:t xml:space="preserve"> </w:t>
            </w:r>
            <w:r w:rsidR="008012DD" w:rsidRPr="00373798">
              <w:rPr>
                <w:rFonts w:ascii="Aptos" w:hAnsi="Aptos" w:cs="Arial"/>
                <w:sz w:val="20"/>
                <w:szCs w:val="20"/>
              </w:rPr>
              <w:t>(TBEV</w:t>
            </w:r>
            <w:r w:rsidR="008012DD" w:rsidRPr="00373798">
              <w:rPr>
                <w:rFonts w:ascii="Cambria Math" w:hAnsi="Cambria Math" w:cs="Cambria Math"/>
                <w:sz w:val="20"/>
                <w:szCs w:val="20"/>
              </w:rPr>
              <w:t>‑</w:t>
            </w:r>
            <w:r w:rsidR="008012DD" w:rsidRPr="00373798">
              <w:rPr>
                <w:rFonts w:ascii="Aptos" w:hAnsi="Aptos" w:cs="Arial"/>
                <w:sz w:val="20"/>
                <w:szCs w:val="20"/>
              </w:rPr>
              <w:t>FE, TBEV</w:t>
            </w:r>
            <w:r w:rsidR="008012DD" w:rsidRPr="00373798">
              <w:rPr>
                <w:rFonts w:ascii="Cambria Math" w:hAnsi="Cambria Math" w:cs="Cambria Math"/>
                <w:sz w:val="20"/>
                <w:szCs w:val="20"/>
              </w:rPr>
              <w:t>‑</w:t>
            </w:r>
            <w:r w:rsidR="008012DD" w:rsidRPr="00373798">
              <w:rPr>
                <w:rFonts w:ascii="Aptos" w:hAnsi="Aptos" w:cs="Arial"/>
                <w:sz w:val="20"/>
                <w:szCs w:val="20"/>
              </w:rPr>
              <w:t xml:space="preserve">Sib), and </w:t>
            </w:r>
            <w:r w:rsidR="008012DD" w:rsidRPr="00BD3A2E">
              <w:rPr>
                <w:rFonts w:ascii="Aptos" w:hAnsi="Aptos" w:cs="Arial"/>
                <w:i/>
                <w:iCs/>
                <w:sz w:val="20"/>
                <w:szCs w:val="20"/>
              </w:rPr>
              <w:t>Dermacentor spp</w:t>
            </w:r>
            <w:r w:rsidR="008012DD" w:rsidRPr="00373798">
              <w:rPr>
                <w:rFonts w:ascii="Aptos" w:hAnsi="Aptos" w:cs="Arial"/>
                <w:sz w:val="20"/>
                <w:szCs w:val="20"/>
              </w:rPr>
              <w:t>. (OHFV), as well as viruses adapted to different amplification hosts (rodents, sheep, red grouse). These ecological speciali</w:t>
            </w:r>
            <w:r w:rsidR="003A4F00">
              <w:rPr>
                <w:rFonts w:ascii="Aptos" w:hAnsi="Aptos" w:cs="Arial"/>
                <w:sz w:val="20"/>
                <w:szCs w:val="20"/>
              </w:rPr>
              <w:t>z</w:t>
            </w:r>
            <w:r w:rsidR="008012DD" w:rsidRPr="00373798">
              <w:rPr>
                <w:rFonts w:ascii="Aptos" w:hAnsi="Aptos" w:cs="Arial"/>
                <w:sz w:val="20"/>
                <w:szCs w:val="20"/>
              </w:rPr>
              <w:t xml:space="preserve">ations </w:t>
            </w:r>
            <w:r w:rsidR="003A4F00">
              <w:rPr>
                <w:rFonts w:ascii="Aptos" w:hAnsi="Aptos" w:cs="Arial"/>
                <w:sz w:val="20"/>
                <w:szCs w:val="20"/>
              </w:rPr>
              <w:t>are</w:t>
            </w:r>
            <w:r w:rsidR="003A4F00" w:rsidRPr="00373798">
              <w:rPr>
                <w:rFonts w:ascii="Aptos" w:hAnsi="Aptos" w:cs="Arial"/>
                <w:sz w:val="20"/>
                <w:szCs w:val="20"/>
              </w:rPr>
              <w:t xml:space="preserve"> </w:t>
            </w:r>
            <w:r w:rsidR="008012DD" w:rsidRPr="00373798">
              <w:rPr>
                <w:rFonts w:ascii="Aptos" w:hAnsi="Aptos" w:cs="Arial"/>
                <w:sz w:val="20"/>
                <w:szCs w:val="20"/>
              </w:rPr>
              <w:t>not absolute</w:t>
            </w:r>
            <w:r w:rsidR="00E32E81" w:rsidRPr="00373798">
              <w:rPr>
                <w:rFonts w:ascii="Aptos" w:hAnsi="Aptos" w:cs="Arial"/>
                <w:sz w:val="20"/>
                <w:szCs w:val="20"/>
              </w:rPr>
              <w:t>.</w:t>
            </w:r>
            <w:r w:rsidR="008012DD" w:rsidRPr="00373798">
              <w:rPr>
                <w:rFonts w:ascii="Aptos" w:hAnsi="Aptos" w:cs="Arial"/>
                <w:sz w:val="20"/>
                <w:szCs w:val="20"/>
              </w:rPr>
              <w:t xml:space="preserve"> </w:t>
            </w:r>
            <w:r w:rsidR="00E32E81" w:rsidRPr="00373798">
              <w:rPr>
                <w:rFonts w:ascii="Aptos" w:hAnsi="Aptos" w:cs="Arial"/>
                <w:sz w:val="20"/>
                <w:szCs w:val="20"/>
              </w:rPr>
              <w:t>F</w:t>
            </w:r>
            <w:r w:rsidR="008012DD" w:rsidRPr="00373798">
              <w:rPr>
                <w:rFonts w:ascii="Aptos" w:hAnsi="Aptos" w:cs="Arial"/>
                <w:sz w:val="20"/>
                <w:szCs w:val="20"/>
              </w:rPr>
              <w:t xml:space="preserve">or example, TBEV has been isolated from </w:t>
            </w:r>
            <w:r w:rsidR="008012DD" w:rsidRPr="00BD3A2E">
              <w:rPr>
                <w:rFonts w:ascii="Aptos" w:hAnsi="Aptos" w:cs="Arial"/>
                <w:i/>
                <w:iCs/>
                <w:sz w:val="20"/>
                <w:szCs w:val="20"/>
              </w:rPr>
              <w:t>Dermacentor</w:t>
            </w:r>
            <w:r w:rsidR="008012DD" w:rsidRPr="00373798">
              <w:rPr>
                <w:rFonts w:ascii="Aptos" w:hAnsi="Aptos" w:cs="Arial"/>
                <w:sz w:val="20"/>
                <w:szCs w:val="20"/>
              </w:rPr>
              <w:t xml:space="preserve"> ticks, and OHFV from </w:t>
            </w:r>
            <w:r w:rsidR="008012DD" w:rsidRPr="00BD3A2E">
              <w:rPr>
                <w:rFonts w:ascii="Aptos" w:hAnsi="Aptos" w:cs="Arial"/>
                <w:i/>
                <w:iCs/>
                <w:sz w:val="20"/>
                <w:szCs w:val="20"/>
              </w:rPr>
              <w:t>Ixodes</w:t>
            </w:r>
            <w:r w:rsidR="008012DD" w:rsidRPr="00373798">
              <w:rPr>
                <w:rFonts w:ascii="Aptos" w:hAnsi="Aptos" w:cs="Arial"/>
                <w:sz w:val="20"/>
                <w:szCs w:val="20"/>
              </w:rPr>
              <w:t xml:space="preserve"> ticks. Our framework retains vector and host information at the </w:t>
            </w:r>
            <w:r w:rsidR="00736436">
              <w:rPr>
                <w:rFonts w:ascii="Aptos" w:hAnsi="Aptos" w:cs="Arial"/>
                <w:sz w:val="20"/>
                <w:szCs w:val="20"/>
              </w:rPr>
              <w:t>subspecies</w:t>
            </w:r>
            <w:r w:rsidR="008012DD" w:rsidRPr="00373798">
              <w:rPr>
                <w:rFonts w:ascii="Aptos" w:hAnsi="Aptos" w:cs="Arial"/>
                <w:sz w:val="20"/>
                <w:szCs w:val="20"/>
              </w:rPr>
              <w:t xml:space="preserve"> level, avoiding the need to split other orthoflavivirus species (e.g., Powassan virus) that also use multiple tick genera.</w:t>
            </w:r>
          </w:p>
          <w:p w14:paraId="2E04A1A2" w14:textId="77777777" w:rsidR="008012DD" w:rsidRPr="00373798" w:rsidRDefault="008012DD" w:rsidP="008012DD">
            <w:pPr>
              <w:rPr>
                <w:rFonts w:ascii="Aptos" w:hAnsi="Aptos" w:cs="Arial"/>
                <w:sz w:val="20"/>
                <w:szCs w:val="20"/>
              </w:rPr>
            </w:pPr>
          </w:p>
          <w:p w14:paraId="6318A84B" w14:textId="79156533" w:rsidR="008012DD" w:rsidRPr="00373798" w:rsidRDefault="008012DD" w:rsidP="008012DD">
            <w:pPr>
              <w:rPr>
                <w:rFonts w:ascii="Aptos" w:hAnsi="Aptos" w:cs="Arial"/>
                <w:sz w:val="20"/>
                <w:szCs w:val="20"/>
                <w:u w:val="single"/>
              </w:rPr>
            </w:pPr>
            <w:r w:rsidRPr="00373798">
              <w:rPr>
                <w:rFonts w:ascii="Aptos" w:hAnsi="Aptos" w:cs="Arial"/>
                <w:sz w:val="20"/>
                <w:szCs w:val="20"/>
                <w:u w:val="single"/>
              </w:rPr>
              <w:t>3.6 Ecological characteristics</w:t>
            </w:r>
          </w:p>
          <w:p w14:paraId="43FD3317" w14:textId="6942F2AE" w:rsidR="008012DD" w:rsidRPr="00373798" w:rsidRDefault="008012DD" w:rsidP="008012DD">
            <w:pPr>
              <w:rPr>
                <w:rFonts w:ascii="Aptos" w:hAnsi="Aptos" w:cs="Arial"/>
                <w:sz w:val="20"/>
                <w:szCs w:val="20"/>
              </w:rPr>
            </w:pPr>
            <w:r w:rsidRPr="00373798">
              <w:rPr>
                <w:rFonts w:ascii="Aptos" w:hAnsi="Aptos" w:cs="Arial"/>
                <w:sz w:val="20"/>
                <w:szCs w:val="20"/>
              </w:rPr>
              <w:t xml:space="preserve">Seasonal activity patterns of vectors and the structure of natural foci differ among </w:t>
            </w:r>
            <w:proofErr w:type="spellStart"/>
            <w:r w:rsidR="00736436">
              <w:rPr>
                <w:rFonts w:ascii="Aptos" w:hAnsi="Aptos" w:cs="Arial"/>
                <w:sz w:val="20"/>
                <w:szCs w:val="20"/>
              </w:rPr>
              <w:t>subspecies</w:t>
            </w:r>
            <w:r w:rsidRPr="00373798">
              <w:rPr>
                <w:rFonts w:ascii="Aptos" w:hAnsi="Aptos" w:cs="Arial"/>
                <w:sz w:val="20"/>
                <w:szCs w:val="20"/>
              </w:rPr>
              <w:t>s</w:t>
            </w:r>
            <w:proofErr w:type="spellEnd"/>
            <w:r w:rsidRPr="00373798">
              <w:rPr>
                <w:rFonts w:ascii="Aptos" w:hAnsi="Aptos" w:cs="Arial"/>
                <w:sz w:val="20"/>
                <w:szCs w:val="20"/>
              </w:rPr>
              <w:t xml:space="preserve">, but such differences are typical of widely distributed RNA viruses and are not, in themselves, considered markers of completed speciation. The </w:t>
            </w:r>
            <w:r w:rsidR="00BD3A2E">
              <w:rPr>
                <w:rFonts w:ascii="Aptos" w:hAnsi="Aptos" w:cs="Arial"/>
                <w:sz w:val="20"/>
                <w:szCs w:val="20"/>
              </w:rPr>
              <w:t>quanti</w:t>
            </w:r>
            <w:r w:rsidR="003A4F00">
              <w:rPr>
                <w:rFonts w:ascii="Aptos" w:hAnsi="Aptos" w:cs="Arial"/>
                <w:sz w:val="20"/>
                <w:szCs w:val="20"/>
              </w:rPr>
              <w:t>ta</w:t>
            </w:r>
            <w:r w:rsidR="00BD3A2E">
              <w:rPr>
                <w:rFonts w:ascii="Aptos" w:hAnsi="Aptos" w:cs="Arial"/>
                <w:sz w:val="20"/>
                <w:szCs w:val="20"/>
              </w:rPr>
              <w:t>tive</w:t>
            </w:r>
            <w:r w:rsidRPr="00373798">
              <w:rPr>
                <w:rFonts w:ascii="Aptos" w:hAnsi="Aptos" w:cs="Arial"/>
                <w:sz w:val="20"/>
                <w:szCs w:val="20"/>
              </w:rPr>
              <w:t xml:space="preserve"> species boundary </w:t>
            </w:r>
            <w:r w:rsidR="00BD3A2E">
              <w:rPr>
                <w:rFonts w:ascii="Aptos" w:hAnsi="Aptos" w:cs="Arial"/>
                <w:sz w:val="20"/>
                <w:szCs w:val="20"/>
              </w:rPr>
              <w:t xml:space="preserve">proposed here </w:t>
            </w:r>
            <w:r w:rsidRPr="00373798">
              <w:rPr>
                <w:rFonts w:ascii="Aptos" w:hAnsi="Aptos" w:cs="Arial"/>
                <w:sz w:val="20"/>
                <w:szCs w:val="20"/>
              </w:rPr>
              <w:t xml:space="preserve">suggests that the entire </w:t>
            </w:r>
            <w:r w:rsidRPr="00EC5688">
              <w:rPr>
                <w:rFonts w:ascii="Aptos" w:hAnsi="Aptos" w:cs="Arial"/>
                <w:i/>
                <w:iCs/>
                <w:sz w:val="20"/>
                <w:szCs w:val="20"/>
              </w:rPr>
              <w:t xml:space="preserve">O. </w:t>
            </w:r>
            <w:proofErr w:type="spellStart"/>
            <w:r w:rsidRPr="00EC5688">
              <w:rPr>
                <w:rFonts w:ascii="Aptos" w:hAnsi="Aptos" w:cs="Arial"/>
                <w:i/>
                <w:iCs/>
                <w:sz w:val="20"/>
                <w:szCs w:val="20"/>
              </w:rPr>
              <w:t>eurasiaticus</w:t>
            </w:r>
            <w:proofErr w:type="spellEnd"/>
            <w:r w:rsidRPr="00373798">
              <w:rPr>
                <w:rFonts w:ascii="Aptos" w:hAnsi="Aptos" w:cs="Arial"/>
                <w:sz w:val="20"/>
                <w:szCs w:val="20"/>
              </w:rPr>
              <w:t xml:space="preserve"> clade has remained within a shared adaptive landscape, consistent with the ecological differences being variations on a common theme.</w:t>
            </w:r>
          </w:p>
          <w:p w14:paraId="0005517A" w14:textId="77777777" w:rsidR="008012DD" w:rsidRPr="00373798" w:rsidRDefault="008012DD" w:rsidP="008012DD">
            <w:pPr>
              <w:rPr>
                <w:rFonts w:ascii="Aptos" w:hAnsi="Aptos" w:cs="Arial"/>
                <w:sz w:val="20"/>
                <w:szCs w:val="20"/>
              </w:rPr>
            </w:pPr>
          </w:p>
          <w:p w14:paraId="639DDE22" w14:textId="44D83F2D" w:rsidR="008012DD" w:rsidRPr="00373798" w:rsidRDefault="008012DD" w:rsidP="008012DD">
            <w:pPr>
              <w:rPr>
                <w:rFonts w:ascii="Aptos" w:hAnsi="Aptos" w:cs="Arial"/>
                <w:sz w:val="20"/>
                <w:szCs w:val="20"/>
                <w:u w:val="single"/>
              </w:rPr>
            </w:pPr>
            <w:r w:rsidRPr="00373798">
              <w:rPr>
                <w:rFonts w:ascii="Aptos" w:hAnsi="Aptos" w:cs="Arial"/>
                <w:sz w:val="20"/>
                <w:szCs w:val="20"/>
                <w:u w:val="single"/>
              </w:rPr>
              <w:t>3.7 Summary of the evaluation</w:t>
            </w:r>
          </w:p>
          <w:p w14:paraId="4B471700" w14:textId="4864E7FC" w:rsidR="00183203" w:rsidRPr="00373798" w:rsidRDefault="008012DD" w:rsidP="001E298D">
            <w:pPr>
              <w:rPr>
                <w:rFonts w:ascii="Aptos" w:hAnsi="Aptos" w:cs="Arial"/>
                <w:sz w:val="20"/>
                <w:szCs w:val="20"/>
              </w:rPr>
            </w:pPr>
            <w:r w:rsidRPr="00373798">
              <w:rPr>
                <w:rFonts w:ascii="Aptos" w:hAnsi="Aptos" w:cs="Arial"/>
                <w:sz w:val="20"/>
                <w:szCs w:val="20"/>
              </w:rPr>
              <w:t xml:space="preserve">The </w:t>
            </w:r>
            <w:r w:rsidRPr="00EC5688">
              <w:rPr>
                <w:rFonts w:ascii="Aptos" w:hAnsi="Aptos" w:cs="Arial"/>
                <w:i/>
                <w:iCs/>
                <w:sz w:val="20"/>
                <w:szCs w:val="20"/>
              </w:rPr>
              <w:t xml:space="preserve">Orthoflavivirus </w:t>
            </w:r>
            <w:proofErr w:type="spellStart"/>
            <w:r w:rsidRPr="00EC5688">
              <w:rPr>
                <w:rFonts w:ascii="Aptos" w:hAnsi="Aptos" w:cs="Arial"/>
                <w:i/>
                <w:iCs/>
                <w:sz w:val="20"/>
                <w:szCs w:val="20"/>
              </w:rPr>
              <w:t>eurasiaticus</w:t>
            </w:r>
            <w:proofErr w:type="spellEnd"/>
            <w:r w:rsidRPr="00373798">
              <w:rPr>
                <w:rFonts w:ascii="Aptos" w:hAnsi="Aptos" w:cs="Arial"/>
                <w:sz w:val="20"/>
                <w:szCs w:val="20"/>
              </w:rPr>
              <w:t xml:space="preserve"> framework satisfies the ICTV requirement for monophyly, </w:t>
            </w:r>
            <w:r w:rsidR="003A4F00" w:rsidRPr="00373798">
              <w:rPr>
                <w:rFonts w:ascii="Aptos" w:hAnsi="Aptos" w:cs="Arial"/>
                <w:sz w:val="20"/>
                <w:szCs w:val="20"/>
              </w:rPr>
              <w:t>applies a uniform nucleotide</w:t>
            </w:r>
            <w:r w:rsidR="003A4F00">
              <w:rPr>
                <w:rFonts w:ascii="Aptos" w:hAnsi="Aptos" w:cs="Arial"/>
                <w:sz w:val="20"/>
                <w:szCs w:val="20"/>
              </w:rPr>
              <w:t xml:space="preserve"> pairwise distance</w:t>
            </w:r>
            <w:r w:rsidR="003A4F00" w:rsidRPr="00373798">
              <w:rPr>
                <w:rFonts w:ascii="Aptos" w:hAnsi="Aptos" w:cs="Arial"/>
                <w:sz w:val="20"/>
                <w:szCs w:val="20"/>
              </w:rPr>
              <w:t xml:space="preserve"> cut</w:t>
            </w:r>
            <w:r w:rsidR="003A4F00" w:rsidRPr="00373798">
              <w:rPr>
                <w:rFonts w:ascii="Cambria Math" w:hAnsi="Cambria Math" w:cs="Cambria Math"/>
                <w:sz w:val="20"/>
                <w:szCs w:val="20"/>
              </w:rPr>
              <w:t>‑</w:t>
            </w:r>
            <w:r w:rsidR="003A4F00" w:rsidRPr="00373798">
              <w:rPr>
                <w:rFonts w:ascii="Aptos" w:hAnsi="Aptos" w:cs="Arial"/>
                <w:sz w:val="20"/>
                <w:szCs w:val="20"/>
              </w:rPr>
              <w:t xml:space="preserve">off for </w:t>
            </w:r>
            <w:r w:rsidR="00736436">
              <w:rPr>
                <w:rFonts w:ascii="Aptos" w:hAnsi="Aptos" w:cs="Arial"/>
                <w:sz w:val="20"/>
                <w:szCs w:val="20"/>
              </w:rPr>
              <w:t>subspecies</w:t>
            </w:r>
            <w:r w:rsidR="003A4F00" w:rsidRPr="00373798">
              <w:rPr>
                <w:rFonts w:ascii="Aptos" w:hAnsi="Aptos" w:cs="Arial"/>
                <w:sz w:val="20"/>
                <w:szCs w:val="20"/>
              </w:rPr>
              <w:t xml:space="preserve"> delineation,</w:t>
            </w:r>
            <w:r w:rsidR="003A4F00">
              <w:rPr>
                <w:rFonts w:ascii="Aptos" w:hAnsi="Aptos" w:cs="Arial"/>
                <w:sz w:val="20"/>
                <w:szCs w:val="20"/>
              </w:rPr>
              <w:t xml:space="preserve"> </w:t>
            </w:r>
            <w:r w:rsidRPr="00373798">
              <w:rPr>
                <w:rFonts w:ascii="Aptos" w:hAnsi="Aptos" w:cs="Arial"/>
                <w:sz w:val="20"/>
                <w:szCs w:val="20"/>
              </w:rPr>
              <w:t xml:space="preserve">uses </w:t>
            </w:r>
            <w:r w:rsidR="003A4F00">
              <w:rPr>
                <w:rFonts w:ascii="Aptos" w:hAnsi="Aptos" w:cs="Arial"/>
                <w:sz w:val="20"/>
                <w:szCs w:val="20"/>
              </w:rPr>
              <w:t xml:space="preserve">an additional </w:t>
            </w:r>
            <w:r w:rsidRPr="00373798">
              <w:rPr>
                <w:rFonts w:ascii="Aptos" w:hAnsi="Aptos" w:cs="Arial"/>
                <w:sz w:val="20"/>
                <w:szCs w:val="20"/>
              </w:rPr>
              <w:t xml:space="preserve">quantitative evolutionary metric (the </w:t>
            </w:r>
            <w:proofErr w:type="spellStart"/>
            <w:r w:rsidRPr="00373798">
              <w:rPr>
                <w:rFonts w:ascii="Aptos" w:hAnsi="Aptos" w:cs="Arial"/>
                <w:sz w:val="20"/>
                <w:szCs w:val="20"/>
              </w:rPr>
              <w:t>dN</w:t>
            </w:r>
            <w:proofErr w:type="spellEnd"/>
            <w:r w:rsidRPr="00373798">
              <w:rPr>
                <w:rFonts w:ascii="Aptos" w:hAnsi="Aptos" w:cs="Arial"/>
                <w:sz w:val="20"/>
                <w:szCs w:val="20"/>
              </w:rPr>
              <w:t>/</w:t>
            </w:r>
            <w:proofErr w:type="spellStart"/>
            <w:r w:rsidRPr="00373798">
              <w:rPr>
                <w:rFonts w:ascii="Aptos" w:hAnsi="Aptos" w:cs="Arial"/>
                <w:sz w:val="20"/>
                <w:szCs w:val="20"/>
              </w:rPr>
              <w:t>dS</w:t>
            </w:r>
            <w:proofErr w:type="spellEnd"/>
            <w:r w:rsidRPr="00373798">
              <w:rPr>
                <w:rFonts w:ascii="Aptos" w:hAnsi="Aptos" w:cs="Arial"/>
                <w:sz w:val="20"/>
                <w:szCs w:val="20"/>
              </w:rPr>
              <w:t xml:space="preserve"> threshold), and accommodates the observed antigenic, clinical, geographic, and ecological diversity within a single species. It removes the paraphyly inherent in the current taxonomy without creating an </w:t>
            </w:r>
            <w:r w:rsidR="00923D4C">
              <w:rPr>
                <w:rFonts w:ascii="Aptos" w:hAnsi="Aptos" w:cs="Arial"/>
                <w:sz w:val="20"/>
                <w:szCs w:val="20"/>
              </w:rPr>
              <w:t>exceptional</w:t>
            </w:r>
            <w:r w:rsidR="00923D4C" w:rsidRPr="00373798">
              <w:rPr>
                <w:rFonts w:ascii="Aptos" w:hAnsi="Aptos" w:cs="Arial"/>
                <w:sz w:val="20"/>
                <w:szCs w:val="20"/>
              </w:rPr>
              <w:t xml:space="preserve"> </w:t>
            </w:r>
            <w:r w:rsidRPr="00373798">
              <w:rPr>
                <w:rFonts w:ascii="Aptos" w:hAnsi="Aptos" w:cs="Arial"/>
                <w:sz w:val="20"/>
                <w:szCs w:val="20"/>
              </w:rPr>
              <w:t xml:space="preserve">situation </w:t>
            </w:r>
            <w:r w:rsidR="00923D4C">
              <w:rPr>
                <w:rFonts w:ascii="Aptos" w:hAnsi="Aptos" w:cs="Arial"/>
                <w:sz w:val="20"/>
                <w:szCs w:val="20"/>
              </w:rPr>
              <w:t>when</w:t>
            </w:r>
            <w:r w:rsidR="00923D4C" w:rsidRPr="00373798">
              <w:rPr>
                <w:rFonts w:ascii="Aptos" w:hAnsi="Aptos" w:cs="Arial"/>
                <w:sz w:val="20"/>
                <w:szCs w:val="20"/>
              </w:rPr>
              <w:t xml:space="preserve"> </w:t>
            </w:r>
            <w:r w:rsidRPr="00373798">
              <w:rPr>
                <w:rFonts w:ascii="Aptos" w:hAnsi="Aptos" w:cs="Arial"/>
                <w:sz w:val="20"/>
                <w:szCs w:val="20"/>
              </w:rPr>
              <w:t>a single vaccine protects</w:t>
            </w:r>
            <w:r w:rsidR="00923D4C">
              <w:rPr>
                <w:rFonts w:ascii="Aptos" w:hAnsi="Aptos" w:cs="Arial"/>
                <w:sz w:val="20"/>
                <w:szCs w:val="20"/>
              </w:rPr>
              <w:t xml:space="preserve"> almost equally well</w:t>
            </w:r>
            <w:r w:rsidRPr="00373798">
              <w:rPr>
                <w:rFonts w:ascii="Aptos" w:hAnsi="Aptos" w:cs="Arial"/>
                <w:sz w:val="20"/>
                <w:szCs w:val="20"/>
              </w:rPr>
              <w:t xml:space="preserve"> against multiple species. In our view, this </w:t>
            </w:r>
            <w:r w:rsidR="00923D4C">
              <w:rPr>
                <w:rFonts w:ascii="Aptos" w:hAnsi="Aptos" w:cs="Arial"/>
                <w:sz w:val="20"/>
                <w:szCs w:val="20"/>
              </w:rPr>
              <w:t>proposal</w:t>
            </w:r>
            <w:r w:rsidR="00923D4C" w:rsidRPr="00373798">
              <w:rPr>
                <w:rFonts w:ascii="Aptos" w:hAnsi="Aptos" w:cs="Arial"/>
                <w:sz w:val="20"/>
                <w:szCs w:val="20"/>
              </w:rPr>
              <w:t xml:space="preserve"> </w:t>
            </w:r>
            <w:r w:rsidRPr="00373798">
              <w:rPr>
                <w:rFonts w:ascii="Aptos" w:hAnsi="Aptos" w:cs="Arial"/>
                <w:sz w:val="20"/>
                <w:szCs w:val="20"/>
              </w:rPr>
              <w:t>offers a biologically grounded and internally consistent alternative to the multi</w:t>
            </w:r>
            <w:r w:rsidRPr="00373798">
              <w:rPr>
                <w:rFonts w:ascii="Cambria Math" w:hAnsi="Cambria Math" w:cs="Cambria Math"/>
                <w:sz w:val="20"/>
                <w:szCs w:val="20"/>
              </w:rPr>
              <w:t>‑</w:t>
            </w:r>
            <w:r w:rsidRPr="00373798">
              <w:rPr>
                <w:rFonts w:ascii="Aptos" w:hAnsi="Aptos" w:cs="Arial"/>
                <w:sz w:val="20"/>
                <w:szCs w:val="20"/>
              </w:rPr>
              <w:t xml:space="preserve">species approach proposed in </w:t>
            </w:r>
            <w:r w:rsidR="00923D4C">
              <w:rPr>
                <w:rFonts w:ascii="Aptos" w:hAnsi="Aptos" w:cs="Arial"/>
                <w:sz w:val="20"/>
                <w:szCs w:val="20"/>
              </w:rPr>
              <w:t xml:space="preserve">the previous proposal </w:t>
            </w:r>
            <w:proofErr w:type="gramStart"/>
            <w:r w:rsidR="00FE4AC7" w:rsidRPr="00373798">
              <w:rPr>
                <w:rFonts w:ascii="Aptos" w:hAnsi="Aptos" w:cs="Arial"/>
                <w:sz w:val="20"/>
                <w:szCs w:val="20"/>
              </w:rPr>
              <w:t>2025.007S.A</w:t>
            </w:r>
            <w:proofErr w:type="gramEnd"/>
            <w:r w:rsidR="00FE4AC7" w:rsidRPr="00373798">
              <w:rPr>
                <w:rFonts w:ascii="Aptos" w:hAnsi="Aptos" w:cs="Arial"/>
                <w:sz w:val="20"/>
                <w:szCs w:val="20"/>
              </w:rPr>
              <w:t>.v3.Orthoflavivirus_2nsp_1spren</w:t>
            </w:r>
            <w:r w:rsidRPr="00373798">
              <w:rPr>
                <w:rFonts w:ascii="Aptos" w:hAnsi="Aptos" w:cs="Arial"/>
                <w:sz w:val="20"/>
                <w:szCs w:val="20"/>
              </w:rPr>
              <w:t>.</w:t>
            </w:r>
          </w:p>
          <w:p w14:paraId="6937796A" w14:textId="77777777" w:rsidR="001E298D" w:rsidRPr="00373798" w:rsidRDefault="001E298D" w:rsidP="00C11BF2">
            <w:pPr>
              <w:rPr>
                <w:rFonts w:ascii="Aptos" w:hAnsi="Aptos" w:cs="Arial"/>
                <w:color w:val="0000FF"/>
                <w:sz w:val="20"/>
                <w:szCs w:val="20"/>
              </w:rPr>
            </w:pPr>
          </w:p>
          <w:p w14:paraId="6439F55D" w14:textId="31AA3171" w:rsidR="001E298D" w:rsidRPr="00373798" w:rsidRDefault="001E298D" w:rsidP="00C11BF2">
            <w:pPr>
              <w:rPr>
                <w:rFonts w:ascii="Aptos" w:hAnsi="Aptos" w:cs="Arial"/>
                <w:color w:val="0000FF"/>
                <w:sz w:val="20"/>
                <w:szCs w:val="20"/>
              </w:rPr>
            </w:pPr>
          </w:p>
        </w:tc>
      </w:tr>
      <w:tr w:rsidR="003D0999" w:rsidRPr="00373798" w14:paraId="1024C7EB" w14:textId="77777777" w:rsidTr="00A77B8E">
        <w:tc>
          <w:tcPr>
            <w:tcW w:w="8926" w:type="dxa"/>
          </w:tcPr>
          <w:p w14:paraId="34EA0093" w14:textId="77777777" w:rsidR="003D0999" w:rsidRPr="00373798" w:rsidRDefault="003D0999" w:rsidP="00DD58AA">
            <w:pPr>
              <w:rPr>
                <w:rFonts w:ascii="Aptos" w:hAnsi="Aptos" w:cs="Arial"/>
                <w:b/>
                <w:i/>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373798" w14:paraId="521F1A3A" w14:textId="77777777" w:rsidTr="00683D0C">
        <w:tc>
          <w:tcPr>
            <w:tcW w:w="8926" w:type="dxa"/>
            <w:shd w:val="clear" w:color="auto" w:fill="F2F2F2" w:themeFill="background1" w:themeFillShade="F2"/>
          </w:tcPr>
          <w:p w14:paraId="012DB901" w14:textId="139E0D44" w:rsidR="00E37077" w:rsidRPr="00373798" w:rsidRDefault="00E37077" w:rsidP="00DD58AA">
            <w:pPr>
              <w:rPr>
                <w:rFonts w:ascii="Aptos" w:hAnsi="Aptos" w:cs="Arial"/>
                <w:b/>
                <w:sz w:val="20"/>
                <w:szCs w:val="20"/>
              </w:rPr>
            </w:pPr>
            <w:r w:rsidRPr="00373798">
              <w:rPr>
                <w:rFonts w:ascii="Aptos" w:hAnsi="Aptos" w:cs="Arial"/>
                <w:b/>
                <w:sz w:val="20"/>
                <w:szCs w:val="20"/>
              </w:rPr>
              <w:t>References</w:t>
            </w:r>
            <w:r w:rsidR="006C0F51" w:rsidRPr="00373798">
              <w:rPr>
                <w:rFonts w:ascii="Aptos" w:hAnsi="Aptos" w:cs="Arial"/>
                <w:b/>
                <w:sz w:val="20"/>
                <w:szCs w:val="20"/>
              </w:rPr>
              <w:t>:</w:t>
            </w:r>
            <w:r w:rsidRPr="00373798">
              <w:rPr>
                <w:rFonts w:ascii="Aptos" w:hAnsi="Aptos" w:cs="Arial"/>
                <w:b/>
                <w:sz w:val="20"/>
                <w:szCs w:val="20"/>
              </w:rPr>
              <w:t xml:space="preserve">   </w:t>
            </w:r>
          </w:p>
        </w:tc>
      </w:tr>
      <w:tr w:rsidR="00953FFE" w:rsidRPr="00373798" w14:paraId="142CD23F" w14:textId="77777777" w:rsidTr="00852D43">
        <w:tc>
          <w:tcPr>
            <w:tcW w:w="8926" w:type="dxa"/>
          </w:tcPr>
          <w:p w14:paraId="1B702A93" w14:textId="217C2918" w:rsidR="00234D98" w:rsidRPr="00373798" w:rsidRDefault="00F65354" w:rsidP="00234D98">
            <w:pPr>
              <w:widowControl w:val="0"/>
              <w:autoSpaceDE w:val="0"/>
              <w:autoSpaceDN w:val="0"/>
              <w:adjustRightInd w:val="0"/>
              <w:ind w:left="640" w:hanging="640"/>
              <w:rPr>
                <w:rFonts w:ascii="Aptos" w:hAnsi="Aptos"/>
                <w:noProof/>
                <w:sz w:val="20"/>
              </w:rPr>
            </w:pPr>
            <w:r w:rsidRPr="00373798">
              <w:rPr>
                <w:rFonts w:ascii="Aptos" w:hAnsi="Aptos" w:cs="Arial"/>
                <w:sz w:val="20"/>
                <w:szCs w:val="20"/>
              </w:rPr>
              <w:fldChar w:fldCharType="begin" w:fldLock="1"/>
            </w:r>
            <w:r w:rsidRPr="00373798">
              <w:rPr>
                <w:rFonts w:ascii="Aptos" w:hAnsi="Aptos" w:cs="Arial"/>
                <w:sz w:val="20"/>
                <w:szCs w:val="20"/>
              </w:rPr>
              <w:instrText xml:space="preserve">ADDIN Mendeley Bibliography CSL_BIBLIOGRAPHY </w:instrText>
            </w:r>
            <w:r w:rsidRPr="00373798">
              <w:rPr>
                <w:rFonts w:ascii="Aptos" w:hAnsi="Aptos" w:cs="Arial"/>
                <w:sz w:val="20"/>
                <w:szCs w:val="20"/>
              </w:rPr>
              <w:fldChar w:fldCharType="separate"/>
            </w:r>
            <w:r w:rsidR="00234D98" w:rsidRPr="00373798">
              <w:rPr>
                <w:rFonts w:ascii="Aptos" w:hAnsi="Aptos"/>
                <w:noProof/>
                <w:sz w:val="20"/>
              </w:rPr>
              <w:t xml:space="preserve">1. </w:t>
            </w:r>
            <w:r w:rsidR="00234D98" w:rsidRPr="00373798">
              <w:rPr>
                <w:rFonts w:ascii="Aptos" w:hAnsi="Aptos"/>
                <w:noProof/>
                <w:sz w:val="20"/>
              </w:rPr>
              <w:tab/>
              <w:t xml:space="preserve">Deviatkin, A.A., Karganova, G.G., Vakulenko, Y.A., Lukashev, A.N. (2020) TBEV Subtyping in Terms of Genetic Distance, </w:t>
            </w:r>
            <w:r w:rsidR="00234D98" w:rsidRPr="00373798">
              <w:rPr>
                <w:rFonts w:ascii="Aptos" w:hAnsi="Aptos"/>
                <w:i/>
                <w:iCs/>
                <w:noProof/>
                <w:sz w:val="20"/>
              </w:rPr>
              <w:t>Viruses</w:t>
            </w:r>
            <w:r w:rsidR="00234D98" w:rsidRPr="00373798">
              <w:rPr>
                <w:rFonts w:ascii="Aptos" w:hAnsi="Aptos"/>
                <w:noProof/>
                <w:sz w:val="20"/>
              </w:rPr>
              <w:t xml:space="preserve">, </w:t>
            </w:r>
            <w:r w:rsidR="00234D98" w:rsidRPr="00373798">
              <w:rPr>
                <w:rFonts w:ascii="Aptos" w:hAnsi="Aptos"/>
                <w:b/>
                <w:bCs/>
                <w:noProof/>
                <w:sz w:val="20"/>
              </w:rPr>
              <w:t>12</w:t>
            </w:r>
            <w:r w:rsidR="00234D98" w:rsidRPr="00373798">
              <w:rPr>
                <w:rFonts w:ascii="Aptos" w:hAnsi="Aptos"/>
                <w:noProof/>
                <w:sz w:val="20"/>
              </w:rPr>
              <w:t>, 1240. doi: 10.3390/v12111240.</w:t>
            </w:r>
          </w:p>
          <w:p w14:paraId="391E1994"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 </w:t>
            </w:r>
            <w:r w:rsidRPr="00373798">
              <w:rPr>
                <w:rFonts w:ascii="Aptos" w:hAnsi="Aptos"/>
                <w:noProof/>
                <w:sz w:val="20"/>
              </w:rPr>
              <w:tab/>
              <w:t xml:space="preserve">Ecker, M., Allison, S.L., Meixner, T., Heinz, F.X. (1999) Sequence analysis and genetic classification of tick-borne encephalitis viruses from Europe and Asia., </w:t>
            </w:r>
            <w:r w:rsidRPr="00373798">
              <w:rPr>
                <w:rFonts w:ascii="Aptos" w:hAnsi="Aptos"/>
                <w:i/>
                <w:iCs/>
                <w:noProof/>
                <w:sz w:val="20"/>
              </w:rPr>
              <w:t>J. Gen. Virol.</w:t>
            </w:r>
            <w:r w:rsidRPr="00373798">
              <w:rPr>
                <w:rFonts w:ascii="Aptos" w:hAnsi="Aptos"/>
                <w:noProof/>
                <w:sz w:val="20"/>
              </w:rPr>
              <w:t xml:space="preserve">, </w:t>
            </w:r>
            <w:r w:rsidRPr="00373798">
              <w:rPr>
                <w:rFonts w:ascii="Aptos" w:hAnsi="Aptos"/>
                <w:b/>
                <w:bCs/>
                <w:noProof/>
                <w:sz w:val="20"/>
              </w:rPr>
              <w:t>80</w:t>
            </w:r>
            <w:r w:rsidRPr="00373798">
              <w:rPr>
                <w:rFonts w:ascii="Aptos" w:hAnsi="Aptos"/>
                <w:noProof/>
                <w:sz w:val="20"/>
              </w:rPr>
              <w:t>, 179–185. doi: 10.1099/0022-1317-80-1-179.</w:t>
            </w:r>
          </w:p>
          <w:p w14:paraId="52C803E1"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3. </w:t>
            </w:r>
            <w:r w:rsidRPr="00373798">
              <w:rPr>
                <w:rFonts w:ascii="Aptos" w:hAnsi="Aptos"/>
                <w:noProof/>
                <w:sz w:val="20"/>
              </w:rPr>
              <w:tab/>
              <w:t xml:space="preserve">Tkachev, S.E., Babkin, I.V., Chicherina, G.S., Kozlova, I.V., Verkhozina, M.M., Demina, T.V., Lisak, O.V., Doroshchenko, E.K., Dzhioev, Y.P., Suntsova, O.V., Belokopytova, P.S., Tikunov, A.Y., Savinova, Y.S., Paramonov, A.I., Glupov, V.V., Zlobin, V.I., Tikunova, N.V. (2020) Genetic diversity and geographical distribution of the Siberian subtype of the tick-borne encephalitis virus, </w:t>
            </w:r>
            <w:r w:rsidRPr="00373798">
              <w:rPr>
                <w:rFonts w:ascii="Aptos" w:hAnsi="Aptos"/>
                <w:i/>
                <w:iCs/>
                <w:noProof/>
                <w:sz w:val="20"/>
              </w:rPr>
              <w:t>Ticks Tick. Borne. Dis.</w:t>
            </w:r>
            <w:r w:rsidRPr="00373798">
              <w:rPr>
                <w:rFonts w:ascii="Aptos" w:hAnsi="Aptos"/>
                <w:noProof/>
                <w:sz w:val="20"/>
              </w:rPr>
              <w:t xml:space="preserve">, </w:t>
            </w:r>
            <w:r w:rsidRPr="00373798">
              <w:rPr>
                <w:rFonts w:ascii="Aptos" w:hAnsi="Aptos"/>
                <w:b/>
                <w:bCs/>
                <w:noProof/>
                <w:sz w:val="20"/>
              </w:rPr>
              <w:t>11</w:t>
            </w:r>
            <w:r w:rsidRPr="00373798">
              <w:rPr>
                <w:rFonts w:ascii="Aptos" w:hAnsi="Aptos"/>
                <w:noProof/>
                <w:sz w:val="20"/>
              </w:rPr>
              <w:t>, 101327. doi: 10.1016/j.ttbdis.2019.101327.</w:t>
            </w:r>
          </w:p>
          <w:p w14:paraId="5E49A2A8"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4. </w:t>
            </w:r>
            <w:r w:rsidRPr="00373798">
              <w:rPr>
                <w:rFonts w:ascii="Aptos" w:hAnsi="Aptos"/>
                <w:noProof/>
                <w:sz w:val="20"/>
              </w:rPr>
              <w:tab/>
              <w:t xml:space="preserve">Dai, X., Shang, G., Lu, S., Yang, J., Xu, J. (2018) A new subtype of eastern tick-borne encephalitis virus discovered in Qinghai-Tibet Plateau, China, </w:t>
            </w:r>
            <w:r w:rsidRPr="00373798">
              <w:rPr>
                <w:rFonts w:ascii="Aptos" w:hAnsi="Aptos"/>
                <w:i/>
                <w:iCs/>
                <w:noProof/>
                <w:sz w:val="20"/>
              </w:rPr>
              <w:t>Emerg. Microbes Infect.</w:t>
            </w:r>
            <w:r w:rsidRPr="00373798">
              <w:rPr>
                <w:rFonts w:ascii="Aptos" w:hAnsi="Aptos"/>
                <w:noProof/>
                <w:sz w:val="20"/>
              </w:rPr>
              <w:t xml:space="preserve">, </w:t>
            </w:r>
            <w:r w:rsidRPr="00373798">
              <w:rPr>
                <w:rFonts w:ascii="Aptos" w:hAnsi="Aptos"/>
                <w:b/>
                <w:bCs/>
                <w:noProof/>
                <w:sz w:val="20"/>
              </w:rPr>
              <w:t>7</w:t>
            </w:r>
            <w:r w:rsidRPr="00373798">
              <w:rPr>
                <w:rFonts w:ascii="Aptos" w:hAnsi="Aptos"/>
                <w:noProof/>
                <w:sz w:val="20"/>
              </w:rPr>
              <w:t>, 1–9. doi: 10.1038/s41426-018-0081-6.</w:t>
            </w:r>
          </w:p>
          <w:p w14:paraId="49F1F1A7"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5. </w:t>
            </w:r>
            <w:r w:rsidRPr="00373798">
              <w:rPr>
                <w:rFonts w:ascii="Aptos" w:hAnsi="Aptos"/>
                <w:noProof/>
                <w:sz w:val="20"/>
              </w:rPr>
              <w:tab/>
              <w:t xml:space="preserve">Demina, T. V, Dzhioev, I.P., Kozlova, I. V, Verkhozina, M.M., Tkachev, S.E., Doroshchenko, E.K., Lisak, O. V, Paramonov, A.I., Zlobin, V.I. (2012) [Genotypes 4 and 5 of the tick-borne encephalitis virus: features of the genome structure and possible scenario for its formation]., </w:t>
            </w:r>
            <w:r w:rsidRPr="00373798">
              <w:rPr>
                <w:rFonts w:ascii="Aptos" w:hAnsi="Aptos"/>
                <w:i/>
                <w:iCs/>
                <w:noProof/>
                <w:sz w:val="20"/>
              </w:rPr>
              <w:t>Vopr. Virusol.</w:t>
            </w:r>
            <w:r w:rsidRPr="00373798">
              <w:rPr>
                <w:rFonts w:ascii="Aptos" w:hAnsi="Aptos"/>
                <w:noProof/>
                <w:sz w:val="20"/>
              </w:rPr>
              <w:t xml:space="preserve">, </w:t>
            </w:r>
            <w:r w:rsidRPr="00373798">
              <w:rPr>
                <w:rFonts w:ascii="Aptos" w:hAnsi="Aptos"/>
                <w:b/>
                <w:bCs/>
                <w:noProof/>
                <w:sz w:val="20"/>
              </w:rPr>
              <w:t>57</w:t>
            </w:r>
            <w:r w:rsidRPr="00373798">
              <w:rPr>
                <w:rFonts w:ascii="Aptos" w:hAnsi="Aptos"/>
                <w:noProof/>
                <w:sz w:val="20"/>
              </w:rPr>
              <w:t>, 13–9</w:t>
            </w:r>
          </w:p>
          <w:p w14:paraId="61D07FB6"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6. </w:t>
            </w:r>
            <w:r w:rsidRPr="00373798">
              <w:rPr>
                <w:rFonts w:ascii="Aptos" w:hAnsi="Aptos"/>
                <w:noProof/>
                <w:sz w:val="20"/>
              </w:rPr>
              <w:tab/>
              <w:t xml:space="preserve">Marin, M.S., McKenzie, J., Gao, G.F., Reid, H.W., Antoniadis, A., Gould, E.A. (1995) The virus causing encephalomyelitis in sheep in Spain: a new member of the tick-borne encephalitis group, </w:t>
            </w:r>
            <w:r w:rsidRPr="00373798">
              <w:rPr>
                <w:rFonts w:ascii="Aptos" w:hAnsi="Aptos"/>
                <w:i/>
                <w:iCs/>
                <w:noProof/>
                <w:sz w:val="20"/>
              </w:rPr>
              <w:t>Res. Vet. Sci.</w:t>
            </w:r>
            <w:r w:rsidRPr="00373798">
              <w:rPr>
                <w:rFonts w:ascii="Aptos" w:hAnsi="Aptos"/>
                <w:noProof/>
                <w:sz w:val="20"/>
              </w:rPr>
              <w:t xml:space="preserve">, </w:t>
            </w:r>
            <w:r w:rsidRPr="00373798">
              <w:rPr>
                <w:rFonts w:ascii="Aptos" w:hAnsi="Aptos"/>
                <w:b/>
                <w:bCs/>
                <w:noProof/>
                <w:sz w:val="20"/>
              </w:rPr>
              <w:t>58</w:t>
            </w:r>
            <w:r w:rsidRPr="00373798">
              <w:rPr>
                <w:rFonts w:ascii="Aptos" w:hAnsi="Aptos"/>
                <w:noProof/>
                <w:sz w:val="20"/>
              </w:rPr>
              <w:t>, 11–13. doi: 10.1016/0034-5288(95)90081-0.</w:t>
            </w:r>
          </w:p>
          <w:p w14:paraId="16C0667A"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7. </w:t>
            </w:r>
            <w:r w:rsidRPr="00373798">
              <w:rPr>
                <w:rFonts w:ascii="Aptos" w:hAnsi="Aptos"/>
                <w:noProof/>
                <w:sz w:val="20"/>
              </w:rPr>
              <w:tab/>
              <w:t xml:space="preserve">Mansfield, K.L., Morales, A.B., Johnson, N., Ayllón, N., Höfle, U., Alberdi, P., Fernández de Mera, I.G., Marín, J.F.G., Gortázar, C., de la Fuente, J., Fooks, A.R. (2015) Identification and characterization of a novel tick-borne flavivirus subtype in goats (Capra hircus) in Spain, </w:t>
            </w:r>
            <w:r w:rsidRPr="00373798">
              <w:rPr>
                <w:rFonts w:ascii="Aptos" w:hAnsi="Aptos"/>
                <w:i/>
                <w:iCs/>
                <w:noProof/>
                <w:sz w:val="20"/>
              </w:rPr>
              <w:t>J. Gen. Virol.</w:t>
            </w:r>
            <w:r w:rsidRPr="00373798">
              <w:rPr>
                <w:rFonts w:ascii="Aptos" w:hAnsi="Aptos"/>
                <w:noProof/>
                <w:sz w:val="20"/>
              </w:rPr>
              <w:t xml:space="preserve">, </w:t>
            </w:r>
            <w:r w:rsidRPr="00373798">
              <w:rPr>
                <w:rFonts w:ascii="Aptos" w:hAnsi="Aptos"/>
                <w:b/>
                <w:bCs/>
                <w:noProof/>
                <w:sz w:val="20"/>
              </w:rPr>
              <w:t>96</w:t>
            </w:r>
            <w:r w:rsidRPr="00373798">
              <w:rPr>
                <w:rFonts w:ascii="Aptos" w:hAnsi="Aptos"/>
                <w:noProof/>
                <w:sz w:val="20"/>
              </w:rPr>
              <w:t>, 1676–1681. doi: 10.1099/vir.0.000096.</w:t>
            </w:r>
          </w:p>
          <w:p w14:paraId="6E28055F"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8. </w:t>
            </w:r>
            <w:r w:rsidRPr="00373798">
              <w:rPr>
                <w:rFonts w:ascii="Aptos" w:hAnsi="Aptos"/>
                <w:noProof/>
                <w:sz w:val="20"/>
              </w:rPr>
              <w:tab/>
              <w:t xml:space="preserve">Hubálek, Z., Pow, I., Reid, H.W., Hussain, M.H. (1995) Antigenic similarity of central European encephalitis and louping-ill viruses., </w:t>
            </w:r>
            <w:r w:rsidRPr="00373798">
              <w:rPr>
                <w:rFonts w:ascii="Aptos" w:hAnsi="Aptos"/>
                <w:i/>
                <w:iCs/>
                <w:noProof/>
                <w:sz w:val="20"/>
              </w:rPr>
              <w:t>Acta Virol.</w:t>
            </w:r>
            <w:r w:rsidRPr="00373798">
              <w:rPr>
                <w:rFonts w:ascii="Aptos" w:hAnsi="Aptos"/>
                <w:noProof/>
                <w:sz w:val="20"/>
              </w:rPr>
              <w:t xml:space="preserve">, </w:t>
            </w:r>
            <w:r w:rsidRPr="00373798">
              <w:rPr>
                <w:rFonts w:ascii="Aptos" w:hAnsi="Aptos"/>
                <w:b/>
                <w:bCs/>
                <w:noProof/>
                <w:sz w:val="20"/>
              </w:rPr>
              <w:t>39</w:t>
            </w:r>
            <w:r w:rsidRPr="00373798">
              <w:rPr>
                <w:rFonts w:ascii="Aptos" w:hAnsi="Aptos"/>
                <w:noProof/>
                <w:sz w:val="20"/>
              </w:rPr>
              <w:t>, 251–6</w:t>
            </w:r>
          </w:p>
          <w:p w14:paraId="1063106A"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9. </w:t>
            </w:r>
            <w:r w:rsidRPr="00373798">
              <w:rPr>
                <w:rFonts w:ascii="Aptos" w:hAnsi="Aptos"/>
                <w:noProof/>
                <w:sz w:val="20"/>
              </w:rPr>
              <w:tab/>
              <w:t xml:space="preserve">Papa, A., Pavlidou, V., Antoniadis, A. (2008) Greek Goat Encephalitis Virus Strain Isolated from Ixodes ricinus, Greece, </w:t>
            </w:r>
            <w:r w:rsidRPr="00373798">
              <w:rPr>
                <w:rFonts w:ascii="Aptos" w:hAnsi="Aptos"/>
                <w:i/>
                <w:iCs/>
                <w:noProof/>
                <w:sz w:val="20"/>
              </w:rPr>
              <w:t>Emerg. Infect. Dis.</w:t>
            </w:r>
            <w:r w:rsidRPr="00373798">
              <w:rPr>
                <w:rFonts w:ascii="Aptos" w:hAnsi="Aptos"/>
                <w:noProof/>
                <w:sz w:val="20"/>
              </w:rPr>
              <w:t xml:space="preserve">, </w:t>
            </w:r>
            <w:r w:rsidRPr="00373798">
              <w:rPr>
                <w:rFonts w:ascii="Aptos" w:hAnsi="Aptos"/>
                <w:b/>
                <w:bCs/>
                <w:noProof/>
                <w:sz w:val="20"/>
              </w:rPr>
              <w:t>14</w:t>
            </w:r>
            <w:r w:rsidRPr="00373798">
              <w:rPr>
                <w:rFonts w:ascii="Aptos" w:hAnsi="Aptos"/>
                <w:noProof/>
                <w:sz w:val="20"/>
              </w:rPr>
              <w:t>, 330–332. doi: 10.3201/eid1402.070889.</w:t>
            </w:r>
          </w:p>
          <w:p w14:paraId="43797292"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10. </w:t>
            </w:r>
            <w:r w:rsidRPr="00373798">
              <w:rPr>
                <w:rFonts w:ascii="Aptos" w:hAnsi="Aptos"/>
                <w:noProof/>
                <w:sz w:val="20"/>
              </w:rPr>
              <w:tab/>
              <w:t xml:space="preserve">McGuire, K., Holmes, E.C., Gao, G.F., Reid, H.W., Gould, E.A. (1998) Tracing the origins of </w:t>
            </w:r>
            <w:r w:rsidRPr="00373798">
              <w:rPr>
                <w:rFonts w:ascii="Aptos" w:hAnsi="Aptos"/>
                <w:noProof/>
                <w:sz w:val="20"/>
              </w:rPr>
              <w:lastRenderedPageBreak/>
              <w:t xml:space="preserve">louping ill virus by molecular phylogenetic analysis, </w:t>
            </w:r>
            <w:r w:rsidRPr="00373798">
              <w:rPr>
                <w:rFonts w:ascii="Aptos" w:hAnsi="Aptos"/>
                <w:i/>
                <w:iCs/>
                <w:noProof/>
                <w:sz w:val="20"/>
              </w:rPr>
              <w:t>J. Gen. Virol.</w:t>
            </w:r>
            <w:r w:rsidRPr="00373798">
              <w:rPr>
                <w:rFonts w:ascii="Aptos" w:hAnsi="Aptos"/>
                <w:noProof/>
                <w:sz w:val="20"/>
              </w:rPr>
              <w:t xml:space="preserve">, </w:t>
            </w:r>
            <w:r w:rsidRPr="00373798">
              <w:rPr>
                <w:rFonts w:ascii="Aptos" w:hAnsi="Aptos"/>
                <w:b/>
                <w:bCs/>
                <w:noProof/>
                <w:sz w:val="20"/>
              </w:rPr>
              <w:t>79</w:t>
            </w:r>
            <w:r w:rsidRPr="00373798">
              <w:rPr>
                <w:rFonts w:ascii="Aptos" w:hAnsi="Aptos"/>
                <w:noProof/>
                <w:sz w:val="20"/>
              </w:rPr>
              <w:t>, 981–988. doi: 10.1099/0022-1317-79-5-981.</w:t>
            </w:r>
          </w:p>
          <w:p w14:paraId="252D307E"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11. </w:t>
            </w:r>
            <w:r w:rsidRPr="00373798">
              <w:rPr>
                <w:rFonts w:ascii="Aptos" w:hAnsi="Aptos"/>
                <w:noProof/>
                <w:sz w:val="20"/>
              </w:rPr>
              <w:tab/>
              <w:t xml:space="preserve">Karan, L.S., Ciccozzi, M., Yakimenko, V. V., Presti, A. Lo, Cella, E., Zehender, G., Rezza, G., Platonov, A.E. (2014) The deduced evolution history of Omsk hemorrhagic fever virus, </w:t>
            </w:r>
            <w:r w:rsidRPr="00373798">
              <w:rPr>
                <w:rFonts w:ascii="Aptos" w:hAnsi="Aptos"/>
                <w:i/>
                <w:iCs/>
                <w:noProof/>
                <w:sz w:val="20"/>
              </w:rPr>
              <w:t>J. Med. Virol.</w:t>
            </w:r>
            <w:r w:rsidRPr="00373798">
              <w:rPr>
                <w:rFonts w:ascii="Aptos" w:hAnsi="Aptos"/>
                <w:noProof/>
                <w:sz w:val="20"/>
              </w:rPr>
              <w:t xml:space="preserve">, </w:t>
            </w:r>
            <w:r w:rsidRPr="00373798">
              <w:rPr>
                <w:rFonts w:ascii="Aptos" w:hAnsi="Aptos"/>
                <w:b/>
                <w:bCs/>
                <w:noProof/>
                <w:sz w:val="20"/>
              </w:rPr>
              <w:t>86</w:t>
            </w:r>
            <w:r w:rsidRPr="00373798">
              <w:rPr>
                <w:rFonts w:ascii="Aptos" w:hAnsi="Aptos"/>
                <w:noProof/>
                <w:sz w:val="20"/>
              </w:rPr>
              <w:t>, 1181–1187. doi: 10.1002/jmv.23856.</w:t>
            </w:r>
          </w:p>
          <w:p w14:paraId="51AA295D"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12. </w:t>
            </w:r>
            <w:r w:rsidRPr="00373798">
              <w:rPr>
                <w:rFonts w:ascii="Aptos" w:hAnsi="Aptos"/>
                <w:noProof/>
                <w:sz w:val="20"/>
              </w:rPr>
              <w:tab/>
              <w:t xml:space="preserve">Simmonds, P., Adriaenssens, E.M., Zerbini, F.M., Abrescia, N.G.A., Aiewsakun, P., Alfenas-Zerbini, P., Bao, Y., Barylski, J., Drosten, C., Duffy, S., Duprex, W.P., Dutilh, B.E., Elena, S.F., García, M.L., Junglen, S., Katzourakis, A., Koonin, E. V., Krupovic, M., Kuhn, J.H., Lambert, A.J., Lefkowitz, E.J., Łobocka, M., Lood, C., Mahony, J., Meier-Kolthoff, J.P., Mushegian, A.R., Oksanen, H.M., Poranen, M.M., Reyes-Muñoz, A., Robertson, D.L., Roux, S., Rubino, L., Sabanadzovic, S., Siddell, S., Skern, T., Smith, D.B., Sullivan, M.B., Suzuki, N., Turner, D., Van Doorslaer, K., Vandamme, A.-M., Varsani, A., Vasilakis, N. (2023) Four principles to establish a universal virus taxonomy, </w:t>
            </w:r>
            <w:r w:rsidRPr="00373798">
              <w:rPr>
                <w:rFonts w:ascii="Aptos" w:hAnsi="Aptos"/>
                <w:i/>
                <w:iCs/>
                <w:noProof/>
                <w:sz w:val="20"/>
              </w:rPr>
              <w:t>PLOS Biol.</w:t>
            </w:r>
            <w:r w:rsidRPr="00373798">
              <w:rPr>
                <w:rFonts w:ascii="Aptos" w:hAnsi="Aptos"/>
                <w:noProof/>
                <w:sz w:val="20"/>
              </w:rPr>
              <w:t xml:space="preserve">, </w:t>
            </w:r>
            <w:r w:rsidRPr="00373798">
              <w:rPr>
                <w:rFonts w:ascii="Aptos" w:hAnsi="Aptos"/>
                <w:b/>
                <w:bCs/>
                <w:noProof/>
                <w:sz w:val="20"/>
              </w:rPr>
              <w:t>21</w:t>
            </w:r>
            <w:r w:rsidRPr="00373798">
              <w:rPr>
                <w:rFonts w:ascii="Aptos" w:hAnsi="Aptos"/>
                <w:noProof/>
                <w:sz w:val="20"/>
              </w:rPr>
              <w:t>, e3001922. doi: 10.1371/journal.pbio.3001922.</w:t>
            </w:r>
          </w:p>
          <w:p w14:paraId="0801BB97"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13. </w:t>
            </w:r>
            <w:r w:rsidRPr="00373798">
              <w:rPr>
                <w:rFonts w:ascii="Aptos" w:hAnsi="Aptos"/>
                <w:noProof/>
                <w:sz w:val="20"/>
              </w:rPr>
              <w:tab/>
              <w:t xml:space="preserve">Deviatkin, A.A., Aleshina, Y.A., Karganova, G.G., Lukashev, A.N. (2024) Selection Pressure Profile Suggests Species Criteria among Tick-Borne Orthoflaviviruses, </w:t>
            </w:r>
            <w:r w:rsidRPr="00373798">
              <w:rPr>
                <w:rFonts w:ascii="Aptos" w:hAnsi="Aptos"/>
                <w:i/>
                <w:iCs/>
                <w:noProof/>
                <w:sz w:val="20"/>
              </w:rPr>
              <w:t>Viruses</w:t>
            </w:r>
            <w:r w:rsidRPr="00373798">
              <w:rPr>
                <w:rFonts w:ascii="Aptos" w:hAnsi="Aptos"/>
                <w:noProof/>
                <w:sz w:val="20"/>
              </w:rPr>
              <w:t xml:space="preserve">, </w:t>
            </w:r>
            <w:r w:rsidRPr="00373798">
              <w:rPr>
                <w:rFonts w:ascii="Aptos" w:hAnsi="Aptos"/>
                <w:b/>
                <w:bCs/>
                <w:noProof/>
                <w:sz w:val="20"/>
              </w:rPr>
              <w:t>16</w:t>
            </w:r>
            <w:r w:rsidRPr="00373798">
              <w:rPr>
                <w:rFonts w:ascii="Aptos" w:hAnsi="Aptos"/>
                <w:noProof/>
                <w:sz w:val="20"/>
              </w:rPr>
              <w:t>, 1554. doi: 10.3390/v16101554.</w:t>
            </w:r>
          </w:p>
          <w:p w14:paraId="45864B6C"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14. </w:t>
            </w:r>
            <w:r w:rsidRPr="00373798">
              <w:rPr>
                <w:rFonts w:ascii="Aptos" w:hAnsi="Aptos"/>
                <w:noProof/>
                <w:sz w:val="20"/>
              </w:rPr>
              <w:tab/>
              <w:t xml:space="preserve">Bondaryuk, A.N., Andaev, E.I., Dzhioev, Y.P., Zlobin, V.I., Tkachev, S.E., Kozlova, I. V., Bukin, Y.S. (2022) Delimitation of the tick-borne flaviviruses. Resolving the tick-borne encephalitis virus and louping-ill virus paraphyletic taxa, </w:t>
            </w:r>
            <w:r w:rsidRPr="00373798">
              <w:rPr>
                <w:rFonts w:ascii="Aptos" w:hAnsi="Aptos"/>
                <w:i/>
                <w:iCs/>
                <w:noProof/>
                <w:sz w:val="20"/>
              </w:rPr>
              <w:t>Mol. Phylogenet. Evol.</w:t>
            </w:r>
            <w:r w:rsidRPr="00373798">
              <w:rPr>
                <w:rFonts w:ascii="Aptos" w:hAnsi="Aptos"/>
                <w:noProof/>
                <w:sz w:val="20"/>
              </w:rPr>
              <w:t xml:space="preserve">, </w:t>
            </w:r>
            <w:r w:rsidRPr="00373798">
              <w:rPr>
                <w:rFonts w:ascii="Aptos" w:hAnsi="Aptos"/>
                <w:b/>
                <w:bCs/>
                <w:noProof/>
                <w:sz w:val="20"/>
              </w:rPr>
              <w:t>169</w:t>
            </w:r>
            <w:r w:rsidRPr="00373798">
              <w:rPr>
                <w:rFonts w:ascii="Aptos" w:hAnsi="Aptos"/>
                <w:noProof/>
                <w:sz w:val="20"/>
              </w:rPr>
              <w:t>, 107411. doi: 10.1016/j.ympev.2022.107411.</w:t>
            </w:r>
          </w:p>
          <w:p w14:paraId="4C085795"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15. </w:t>
            </w:r>
            <w:r w:rsidRPr="00373798">
              <w:rPr>
                <w:rFonts w:ascii="Aptos" w:hAnsi="Aptos"/>
                <w:noProof/>
                <w:sz w:val="20"/>
              </w:rPr>
              <w:tab/>
              <w:t xml:space="preserve">Dowd, K.A., Pierson, T.C. (2018) The Many Faces of a Dynamic Virion: Implications of Viral Breathing on Flavivirus Biology and Immunogenicity, </w:t>
            </w:r>
            <w:r w:rsidRPr="00373798">
              <w:rPr>
                <w:rFonts w:ascii="Aptos" w:hAnsi="Aptos"/>
                <w:i/>
                <w:iCs/>
                <w:noProof/>
                <w:sz w:val="20"/>
              </w:rPr>
              <w:t>Annu. Rev. Virol.</w:t>
            </w:r>
            <w:r w:rsidRPr="00373798">
              <w:rPr>
                <w:rFonts w:ascii="Aptos" w:hAnsi="Aptos"/>
                <w:noProof/>
                <w:sz w:val="20"/>
              </w:rPr>
              <w:t xml:space="preserve">, </w:t>
            </w:r>
            <w:r w:rsidRPr="00373798">
              <w:rPr>
                <w:rFonts w:ascii="Aptos" w:hAnsi="Aptos"/>
                <w:b/>
                <w:bCs/>
                <w:noProof/>
                <w:sz w:val="20"/>
              </w:rPr>
              <w:t>5</w:t>
            </w:r>
            <w:r w:rsidRPr="00373798">
              <w:rPr>
                <w:rFonts w:ascii="Aptos" w:hAnsi="Aptos"/>
                <w:noProof/>
                <w:sz w:val="20"/>
              </w:rPr>
              <w:t>, 185–207. doi: 10.1146/annurev-virology-092917-043300.</w:t>
            </w:r>
          </w:p>
          <w:p w14:paraId="7714D7CD"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16. </w:t>
            </w:r>
            <w:r w:rsidRPr="00373798">
              <w:rPr>
                <w:rFonts w:ascii="Aptos" w:hAnsi="Aptos"/>
                <w:noProof/>
                <w:sz w:val="20"/>
              </w:rPr>
              <w:tab/>
              <w:t xml:space="preserve">Matveev, A., Khlusevich, Y., Kozlova, I., Matveev, L., Emelyanova, L., Tikunov, A., Baykov, I., Tikunova, N. (2023) New Neutralizing Epitope Exposed on the Domain II of Tick-Borne Encephalitis Virus Envelope Glycoprotein E, </w:t>
            </w:r>
            <w:r w:rsidRPr="00373798">
              <w:rPr>
                <w:rFonts w:ascii="Aptos" w:hAnsi="Aptos"/>
                <w:i/>
                <w:iCs/>
                <w:noProof/>
                <w:sz w:val="20"/>
              </w:rPr>
              <w:t>Viruses</w:t>
            </w:r>
            <w:r w:rsidRPr="00373798">
              <w:rPr>
                <w:rFonts w:ascii="Aptos" w:hAnsi="Aptos"/>
                <w:noProof/>
                <w:sz w:val="20"/>
              </w:rPr>
              <w:t xml:space="preserve">, </w:t>
            </w:r>
            <w:r w:rsidRPr="00373798">
              <w:rPr>
                <w:rFonts w:ascii="Aptos" w:hAnsi="Aptos"/>
                <w:b/>
                <w:bCs/>
                <w:noProof/>
                <w:sz w:val="20"/>
              </w:rPr>
              <w:t>15</w:t>
            </w:r>
            <w:r w:rsidRPr="00373798">
              <w:rPr>
                <w:rFonts w:ascii="Aptos" w:hAnsi="Aptos"/>
                <w:noProof/>
                <w:sz w:val="20"/>
              </w:rPr>
              <w:t>, 1256. doi: 10.3390/v15061256.</w:t>
            </w:r>
          </w:p>
          <w:p w14:paraId="75A7CA28"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17. </w:t>
            </w:r>
            <w:r w:rsidRPr="00373798">
              <w:rPr>
                <w:rFonts w:ascii="Aptos" w:hAnsi="Aptos"/>
                <w:noProof/>
                <w:sz w:val="20"/>
              </w:rPr>
              <w:tab/>
              <w:t xml:space="preserve">Deng, Y.-Q., Dai, J.-X., Ji, G.-H., Jiang, T., Wang, H.-J., Yang, H., Tan, W.-L., Liu, R., Yu, M., Ge, B.-X., Zhu, Q.-Y., Qin, E.-D., Guo, Y.-J., Qin, C.-F. (2011) A Broadly Flavivirus Cross-Neutralizing Monoclonal Antibody that Recognizes a Novel Epitope within the Fusion Loop of E Protein, </w:t>
            </w:r>
            <w:r w:rsidRPr="00373798">
              <w:rPr>
                <w:rFonts w:ascii="Aptos" w:hAnsi="Aptos"/>
                <w:i/>
                <w:iCs/>
                <w:noProof/>
                <w:sz w:val="20"/>
              </w:rPr>
              <w:t>PLoS One</w:t>
            </w:r>
            <w:r w:rsidRPr="00373798">
              <w:rPr>
                <w:rFonts w:ascii="Aptos" w:hAnsi="Aptos"/>
                <w:noProof/>
                <w:sz w:val="20"/>
              </w:rPr>
              <w:t xml:space="preserve">, </w:t>
            </w:r>
            <w:r w:rsidRPr="00373798">
              <w:rPr>
                <w:rFonts w:ascii="Aptos" w:hAnsi="Aptos"/>
                <w:b/>
                <w:bCs/>
                <w:noProof/>
                <w:sz w:val="20"/>
              </w:rPr>
              <w:t>6</w:t>
            </w:r>
            <w:r w:rsidRPr="00373798">
              <w:rPr>
                <w:rFonts w:ascii="Aptos" w:hAnsi="Aptos"/>
                <w:noProof/>
                <w:sz w:val="20"/>
              </w:rPr>
              <w:t>, e16059. doi: 10.1371/journal.pone.0016059.</w:t>
            </w:r>
          </w:p>
          <w:p w14:paraId="410355F2"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18. </w:t>
            </w:r>
            <w:r w:rsidRPr="00373798">
              <w:rPr>
                <w:rFonts w:ascii="Aptos" w:hAnsi="Aptos"/>
                <w:noProof/>
                <w:sz w:val="20"/>
              </w:rPr>
              <w:tab/>
              <w:t xml:space="preserve">Andaev, E.I., Nikitin, A.Y., Tolmacheva, M.I., Zarva, I.D., Sidorova, E.A., Bondaryuk, A.N., Yatsmenko, E. V., Sevostianova, A. V., Lopatovskaya, K. V., Babash, V.A., Balakhonov, S. V. (2025) Epidemiological Situation on Tick-Borne Viral Encephalitis in the Russian Federation over the Period of 2015–2024 and Short-Term Incidence Forecast for 2025, </w:t>
            </w:r>
            <w:r w:rsidRPr="00373798">
              <w:rPr>
                <w:rFonts w:ascii="Aptos" w:hAnsi="Aptos"/>
                <w:i/>
                <w:iCs/>
                <w:noProof/>
                <w:sz w:val="20"/>
              </w:rPr>
              <w:t>Probl. Part. Danger. Infect.</w:t>
            </w:r>
            <w:r w:rsidRPr="00373798">
              <w:rPr>
                <w:rFonts w:ascii="Aptos" w:hAnsi="Aptos"/>
                <w:noProof/>
                <w:sz w:val="20"/>
              </w:rPr>
              <w:t>, 6–17. doi: 10.21055/0370-1069-2025-1-6-17.</w:t>
            </w:r>
          </w:p>
          <w:p w14:paraId="3804F0AB"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19. </w:t>
            </w:r>
            <w:r w:rsidRPr="00373798">
              <w:rPr>
                <w:rFonts w:ascii="Aptos" w:hAnsi="Aptos"/>
                <w:noProof/>
                <w:sz w:val="20"/>
              </w:rPr>
              <w:tab/>
              <w:t xml:space="preserve">Ruzek, D., Avšič Županc, T., Borde, J., Chrdle, A., Eyer, L., Karganova, G., Kholodilov, I., Knap, N., Kozlovskaya, L., Matveev, A., Miller, A.D., Osolodkin, D.I., Överby, A.K., Tikunova, N., Tkachev, S., Zajkowska, J. (2019) Tick-borne encephalitis in Europe and Russia: Review of pathogenesis, clinical features, therapy, and vaccines, </w:t>
            </w:r>
            <w:r w:rsidRPr="00373798">
              <w:rPr>
                <w:rFonts w:ascii="Aptos" w:hAnsi="Aptos"/>
                <w:i/>
                <w:iCs/>
                <w:noProof/>
                <w:sz w:val="20"/>
              </w:rPr>
              <w:t>Antiviral Res.</w:t>
            </w:r>
            <w:r w:rsidRPr="00373798">
              <w:rPr>
                <w:rFonts w:ascii="Aptos" w:hAnsi="Aptos"/>
                <w:noProof/>
                <w:sz w:val="20"/>
              </w:rPr>
              <w:t xml:space="preserve">, </w:t>
            </w:r>
            <w:r w:rsidRPr="00373798">
              <w:rPr>
                <w:rFonts w:ascii="Aptos" w:hAnsi="Aptos"/>
                <w:b/>
                <w:bCs/>
                <w:noProof/>
                <w:sz w:val="20"/>
              </w:rPr>
              <w:t>164</w:t>
            </w:r>
            <w:r w:rsidRPr="00373798">
              <w:rPr>
                <w:rFonts w:ascii="Aptos" w:hAnsi="Aptos"/>
                <w:noProof/>
                <w:sz w:val="20"/>
              </w:rPr>
              <w:t>, 23–51. doi: 10.1016/j.antiviral.2019.01.014.</w:t>
            </w:r>
          </w:p>
          <w:p w14:paraId="30919C1A"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20. </w:t>
            </w:r>
            <w:r w:rsidRPr="00373798">
              <w:rPr>
                <w:rFonts w:ascii="Aptos" w:hAnsi="Aptos"/>
                <w:noProof/>
                <w:sz w:val="20"/>
              </w:rPr>
              <w:tab/>
              <w:t xml:space="preserve">Dagleish, M.P.P., Clark, J.J.J., Robson, C., Tucker, M., Orton, R.J.J., Rocchi, M.S.S. (2018) A Fatal Case of Louping-ill in a Dog: Immunolocalization and Full Genome Sequencing of the Virus, </w:t>
            </w:r>
            <w:r w:rsidRPr="00373798">
              <w:rPr>
                <w:rFonts w:ascii="Aptos" w:hAnsi="Aptos"/>
                <w:i/>
                <w:iCs/>
                <w:noProof/>
                <w:sz w:val="20"/>
              </w:rPr>
              <w:t>J. Comp. Pathol.</w:t>
            </w:r>
            <w:r w:rsidRPr="00373798">
              <w:rPr>
                <w:rFonts w:ascii="Aptos" w:hAnsi="Aptos"/>
                <w:noProof/>
                <w:sz w:val="20"/>
              </w:rPr>
              <w:t xml:space="preserve">, </w:t>
            </w:r>
            <w:r w:rsidRPr="00373798">
              <w:rPr>
                <w:rFonts w:ascii="Aptos" w:hAnsi="Aptos"/>
                <w:b/>
                <w:bCs/>
                <w:noProof/>
                <w:sz w:val="20"/>
              </w:rPr>
              <w:t>165</w:t>
            </w:r>
            <w:r w:rsidRPr="00373798">
              <w:rPr>
                <w:rFonts w:ascii="Aptos" w:hAnsi="Aptos"/>
                <w:noProof/>
                <w:sz w:val="20"/>
              </w:rPr>
              <w:t>, 23–32. doi: 10.1016/j.jcpa.2018.09.004.</w:t>
            </w:r>
          </w:p>
          <w:p w14:paraId="5D1E4BF6"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21. </w:t>
            </w:r>
            <w:r w:rsidRPr="00373798">
              <w:rPr>
                <w:rFonts w:ascii="Aptos" w:hAnsi="Aptos"/>
                <w:noProof/>
                <w:sz w:val="20"/>
              </w:rPr>
              <w:tab/>
              <w:t xml:space="preserve">Yurchenko, O.O., Dubina, D.O., Vynograd, N.O., Gonzalez, J.-P. (2017) Partial Characterization of Tick-Borne Encephalitis Virus Isolates from Ticks of Southern Ukraine, </w:t>
            </w:r>
            <w:r w:rsidRPr="00373798">
              <w:rPr>
                <w:rFonts w:ascii="Aptos" w:hAnsi="Aptos"/>
                <w:i/>
                <w:iCs/>
                <w:noProof/>
                <w:sz w:val="20"/>
              </w:rPr>
              <w:t>Vector-Borne Zoonotic Dis.</w:t>
            </w:r>
            <w:r w:rsidRPr="00373798">
              <w:rPr>
                <w:rFonts w:ascii="Aptos" w:hAnsi="Aptos"/>
                <w:noProof/>
                <w:sz w:val="20"/>
              </w:rPr>
              <w:t xml:space="preserve">, </w:t>
            </w:r>
            <w:r w:rsidRPr="00373798">
              <w:rPr>
                <w:rFonts w:ascii="Aptos" w:hAnsi="Aptos"/>
                <w:b/>
                <w:bCs/>
                <w:noProof/>
                <w:sz w:val="20"/>
              </w:rPr>
              <w:t>17</w:t>
            </w:r>
            <w:r w:rsidRPr="00373798">
              <w:rPr>
                <w:rFonts w:ascii="Aptos" w:hAnsi="Aptos"/>
                <w:noProof/>
                <w:sz w:val="20"/>
              </w:rPr>
              <w:t>, 550–557. doi: 10.1089/vbz.2016.2094.</w:t>
            </w:r>
          </w:p>
          <w:p w14:paraId="6E55173F"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22. </w:t>
            </w:r>
            <w:r w:rsidRPr="00373798">
              <w:rPr>
                <w:rFonts w:ascii="Aptos" w:hAnsi="Aptos"/>
                <w:noProof/>
                <w:sz w:val="20"/>
              </w:rPr>
              <w:tab/>
              <w:t xml:space="preserve">Fares, W., Dachraoui, K., Cherni, S., Barhoumi, W., Slimane, T. Ben, Younsi, H., Zhioua, E. (2021) Tick-borne encephalitis virus in Ixodes ricinus (Acari: Ixodidae) ticks, Tunisia, </w:t>
            </w:r>
            <w:r w:rsidRPr="00373798">
              <w:rPr>
                <w:rFonts w:ascii="Aptos" w:hAnsi="Aptos"/>
                <w:i/>
                <w:iCs/>
                <w:noProof/>
                <w:sz w:val="20"/>
              </w:rPr>
              <w:t>Ticks Tick. Borne. Dis.</w:t>
            </w:r>
            <w:r w:rsidRPr="00373798">
              <w:rPr>
                <w:rFonts w:ascii="Aptos" w:hAnsi="Aptos"/>
                <w:noProof/>
                <w:sz w:val="20"/>
              </w:rPr>
              <w:t xml:space="preserve">, </w:t>
            </w:r>
            <w:r w:rsidRPr="00373798">
              <w:rPr>
                <w:rFonts w:ascii="Aptos" w:hAnsi="Aptos"/>
                <w:b/>
                <w:bCs/>
                <w:noProof/>
                <w:sz w:val="20"/>
              </w:rPr>
              <w:t>12</w:t>
            </w:r>
            <w:r w:rsidRPr="00373798">
              <w:rPr>
                <w:rFonts w:ascii="Aptos" w:hAnsi="Aptos"/>
                <w:noProof/>
                <w:sz w:val="20"/>
              </w:rPr>
              <w:t>, 101606. doi: 10.1016/j.ttbdis.2020.101606.</w:t>
            </w:r>
          </w:p>
          <w:p w14:paraId="5169C7E4"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23. </w:t>
            </w:r>
            <w:r w:rsidRPr="00373798">
              <w:rPr>
                <w:rFonts w:ascii="Aptos" w:hAnsi="Aptos"/>
                <w:noProof/>
                <w:sz w:val="20"/>
              </w:rPr>
              <w:tab/>
              <w:t xml:space="preserve">Yun, S.M., Song, B.G., Choi, W., Park, W.I., Kim, S.Y., Roh, J.Y., Ryou, J., Ju, Y.R., Park, C., Shin, E.H. (2012) Prevalence of tick-borne encephalitis virus in ixodid ticks collected from the republic of Korea during 2011-2012, </w:t>
            </w:r>
            <w:r w:rsidRPr="00373798">
              <w:rPr>
                <w:rFonts w:ascii="Aptos" w:hAnsi="Aptos"/>
                <w:i/>
                <w:iCs/>
                <w:noProof/>
                <w:sz w:val="20"/>
              </w:rPr>
              <w:t>Osong Public Heal. Res Perspect</w:t>
            </w:r>
            <w:r w:rsidRPr="00373798">
              <w:rPr>
                <w:rFonts w:ascii="Aptos" w:hAnsi="Aptos"/>
                <w:noProof/>
                <w:sz w:val="20"/>
              </w:rPr>
              <w:t xml:space="preserve">, </w:t>
            </w:r>
            <w:r w:rsidRPr="00373798">
              <w:rPr>
                <w:rFonts w:ascii="Aptos" w:hAnsi="Aptos"/>
                <w:b/>
                <w:bCs/>
                <w:noProof/>
                <w:sz w:val="20"/>
              </w:rPr>
              <w:t>3</w:t>
            </w:r>
            <w:r w:rsidRPr="00373798">
              <w:rPr>
                <w:rFonts w:ascii="Aptos" w:hAnsi="Aptos"/>
                <w:noProof/>
                <w:sz w:val="20"/>
              </w:rPr>
              <w:t>, 213–221. doi: 10.1016/j.phrp.2012.10.004.</w:t>
            </w:r>
          </w:p>
          <w:p w14:paraId="62266758"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24. </w:t>
            </w:r>
            <w:r w:rsidRPr="00373798">
              <w:rPr>
                <w:rFonts w:ascii="Aptos" w:hAnsi="Aptos"/>
                <w:noProof/>
                <w:sz w:val="20"/>
              </w:rPr>
              <w:tab/>
              <w:t xml:space="preserve">Demina, T.V., Tkachev, S.E., Kozlova, I.V., Doroshchenko, E.K., Lisak, O.V., Suntsova, O.V., Verkhozina, M.M., Dzhioev, Y.P., Paramonov, A.I., Tikunov, A.Y., Tikunova, N.V., Zlobin, V.I., Ruzek, D. (2017) Comparative analysis of complete genome sequences of European subtype tick-borne encephalitis virus strains isolated from Ixodes persulcatus ticks, long-tailed ground squirrel ( Spermophilus undulatus ), and human blood in the Asian part of Russia, </w:t>
            </w:r>
            <w:r w:rsidRPr="00373798">
              <w:rPr>
                <w:rFonts w:ascii="Aptos" w:hAnsi="Aptos"/>
                <w:i/>
                <w:iCs/>
                <w:noProof/>
                <w:sz w:val="20"/>
              </w:rPr>
              <w:t xml:space="preserve">Ticks Tick. </w:t>
            </w:r>
            <w:r w:rsidRPr="00373798">
              <w:rPr>
                <w:rFonts w:ascii="Aptos" w:hAnsi="Aptos"/>
                <w:i/>
                <w:iCs/>
                <w:noProof/>
                <w:sz w:val="20"/>
              </w:rPr>
              <w:lastRenderedPageBreak/>
              <w:t>Borne. Dis.</w:t>
            </w:r>
            <w:r w:rsidRPr="00373798">
              <w:rPr>
                <w:rFonts w:ascii="Aptos" w:hAnsi="Aptos"/>
                <w:noProof/>
                <w:sz w:val="20"/>
              </w:rPr>
              <w:t xml:space="preserve">, </w:t>
            </w:r>
            <w:r w:rsidRPr="00373798">
              <w:rPr>
                <w:rFonts w:ascii="Aptos" w:hAnsi="Aptos"/>
                <w:b/>
                <w:bCs/>
                <w:noProof/>
                <w:sz w:val="20"/>
              </w:rPr>
              <w:t>8</w:t>
            </w:r>
            <w:r w:rsidRPr="00373798">
              <w:rPr>
                <w:rFonts w:ascii="Aptos" w:hAnsi="Aptos"/>
                <w:noProof/>
                <w:sz w:val="20"/>
              </w:rPr>
              <w:t>, 547–553. doi: 10.1016/j.ttbdis.2017.03.002.</w:t>
            </w:r>
          </w:p>
          <w:p w14:paraId="76577BEC"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25. </w:t>
            </w:r>
            <w:r w:rsidRPr="00373798">
              <w:rPr>
                <w:rFonts w:ascii="Aptos" w:hAnsi="Aptos"/>
                <w:noProof/>
                <w:sz w:val="20"/>
              </w:rPr>
              <w:tab/>
              <w:t xml:space="preserve">Mikriukova, T.P., Chausov, E. V, Konovalova, S.N., Kononova, I. V, Protopopova, E. V, Kartashov, M.I., Trnovoĭ, V.A., Glushkova, L.I., Korabel’nikov, I. V, Egorova, I.I., Loktev, V.B. (2014) [Genetic diversity of the tick-borne encephalitis virus in Ixodes persulcatus ticks in northeastern European Russia]., </w:t>
            </w:r>
            <w:r w:rsidRPr="00373798">
              <w:rPr>
                <w:rFonts w:ascii="Aptos" w:hAnsi="Aptos"/>
                <w:i/>
                <w:iCs/>
                <w:noProof/>
                <w:sz w:val="20"/>
              </w:rPr>
              <w:t>Parazitologiia</w:t>
            </w:r>
            <w:r w:rsidRPr="00373798">
              <w:rPr>
                <w:rFonts w:ascii="Aptos" w:hAnsi="Aptos"/>
                <w:noProof/>
                <w:sz w:val="20"/>
              </w:rPr>
              <w:t xml:space="preserve">, </w:t>
            </w:r>
            <w:r w:rsidRPr="00373798">
              <w:rPr>
                <w:rFonts w:ascii="Aptos" w:hAnsi="Aptos"/>
                <w:b/>
                <w:bCs/>
                <w:noProof/>
                <w:sz w:val="20"/>
              </w:rPr>
              <w:t>48</w:t>
            </w:r>
            <w:r w:rsidRPr="00373798">
              <w:rPr>
                <w:rFonts w:ascii="Aptos" w:hAnsi="Aptos"/>
                <w:noProof/>
                <w:sz w:val="20"/>
              </w:rPr>
              <w:t>, 131–49</w:t>
            </w:r>
          </w:p>
          <w:p w14:paraId="153A0E97"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26. </w:t>
            </w:r>
            <w:r w:rsidRPr="00373798">
              <w:rPr>
                <w:rFonts w:ascii="Aptos" w:hAnsi="Aptos"/>
                <w:noProof/>
                <w:sz w:val="20"/>
              </w:rPr>
              <w:tab/>
              <w:t xml:space="preserve">Ponomareva, E.P., Mikryukova, T.P., Gori, A. V., Kartashov, M.Y., Protopopova, E. V., Chausov, E. V., Konovalova, S.N., Tupota, N.L., Gheorghita, S.D., Burlacu, V.I., Ternovoi, V.A., Loktev, V.B. (2015) Detection of Far-Eastern subtype of tick-borne encephalitis viral RNA in ticks collected in the Republic of Moldova., </w:t>
            </w:r>
            <w:r w:rsidRPr="00373798">
              <w:rPr>
                <w:rFonts w:ascii="Aptos" w:hAnsi="Aptos"/>
                <w:i/>
                <w:iCs/>
                <w:noProof/>
                <w:sz w:val="20"/>
              </w:rPr>
              <w:t>J. Vector Borne Dis.</w:t>
            </w:r>
            <w:r w:rsidRPr="00373798">
              <w:rPr>
                <w:rFonts w:ascii="Aptos" w:hAnsi="Aptos"/>
                <w:noProof/>
                <w:sz w:val="20"/>
              </w:rPr>
              <w:t xml:space="preserve">, </w:t>
            </w:r>
            <w:r w:rsidRPr="00373798">
              <w:rPr>
                <w:rFonts w:ascii="Aptos" w:hAnsi="Aptos"/>
                <w:b/>
                <w:bCs/>
                <w:noProof/>
                <w:sz w:val="20"/>
              </w:rPr>
              <w:t>52</w:t>
            </w:r>
            <w:r w:rsidRPr="00373798">
              <w:rPr>
                <w:rFonts w:ascii="Aptos" w:hAnsi="Aptos"/>
                <w:noProof/>
                <w:sz w:val="20"/>
              </w:rPr>
              <w:t>, 334–6</w:t>
            </w:r>
          </w:p>
          <w:p w14:paraId="6F4E6216"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27. </w:t>
            </w:r>
            <w:r w:rsidRPr="00373798">
              <w:rPr>
                <w:rFonts w:ascii="Aptos" w:hAnsi="Aptos"/>
                <w:noProof/>
                <w:sz w:val="20"/>
              </w:rPr>
              <w:tab/>
              <w:t xml:space="preserve">Achazi, K., Růžek, D., Donoso-Mantke, O., Schlegel, M., Ali, H.S., Wenk, M., Schmidt-Chanasit, J., Ohlmeyer, L., Rühe, F., Vor, T., Kiffner, C., Kallies, R., Ulrich, R.G., Niedrig, M. (2011) Rodents as sentinels for the prevalence of tick-borne encephalitis virus., </w:t>
            </w:r>
            <w:r w:rsidRPr="00373798">
              <w:rPr>
                <w:rFonts w:ascii="Aptos" w:hAnsi="Aptos"/>
                <w:i/>
                <w:iCs/>
                <w:noProof/>
                <w:sz w:val="20"/>
              </w:rPr>
              <w:t>Vector Borne Zoonotic Dis.</w:t>
            </w:r>
            <w:r w:rsidRPr="00373798">
              <w:rPr>
                <w:rFonts w:ascii="Aptos" w:hAnsi="Aptos"/>
                <w:noProof/>
                <w:sz w:val="20"/>
              </w:rPr>
              <w:t xml:space="preserve">, </w:t>
            </w:r>
            <w:r w:rsidRPr="00373798">
              <w:rPr>
                <w:rFonts w:ascii="Aptos" w:hAnsi="Aptos"/>
                <w:b/>
                <w:bCs/>
                <w:noProof/>
                <w:sz w:val="20"/>
              </w:rPr>
              <w:t>11</w:t>
            </w:r>
            <w:r w:rsidRPr="00373798">
              <w:rPr>
                <w:rFonts w:ascii="Aptos" w:hAnsi="Aptos"/>
                <w:noProof/>
                <w:sz w:val="20"/>
              </w:rPr>
              <w:t>, 641–7. doi: 10.1089/vbz.2010.0236.</w:t>
            </w:r>
          </w:p>
          <w:p w14:paraId="2D15DEC7"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28. </w:t>
            </w:r>
            <w:r w:rsidRPr="00373798">
              <w:rPr>
                <w:rFonts w:ascii="Aptos" w:hAnsi="Aptos"/>
                <w:noProof/>
                <w:sz w:val="20"/>
              </w:rPr>
              <w:tab/>
              <w:t xml:space="preserve">Chitimia-Dobler, L., Lemhöfer, G., Król, N., Bestehorn, M., Dobler, G., Pfeffer, M. (2019) Repeated isolation of tick-borne encephalitis virus from adult Dermacentor reticulatus ticks in an endemic area in Germany, </w:t>
            </w:r>
            <w:r w:rsidRPr="00373798">
              <w:rPr>
                <w:rFonts w:ascii="Aptos" w:hAnsi="Aptos"/>
                <w:i/>
                <w:iCs/>
                <w:noProof/>
                <w:sz w:val="20"/>
              </w:rPr>
              <w:t>Parasites and Vectors</w:t>
            </w:r>
            <w:r w:rsidRPr="00373798">
              <w:rPr>
                <w:rFonts w:ascii="Aptos" w:hAnsi="Aptos"/>
                <w:noProof/>
                <w:sz w:val="20"/>
              </w:rPr>
              <w:t xml:space="preserve">, </w:t>
            </w:r>
            <w:r w:rsidRPr="00373798">
              <w:rPr>
                <w:rFonts w:ascii="Aptos" w:hAnsi="Aptos"/>
                <w:b/>
                <w:bCs/>
                <w:noProof/>
                <w:sz w:val="20"/>
              </w:rPr>
              <w:t>12</w:t>
            </w:r>
            <w:r w:rsidRPr="00373798">
              <w:rPr>
                <w:rFonts w:ascii="Aptos" w:hAnsi="Aptos"/>
                <w:noProof/>
                <w:sz w:val="20"/>
              </w:rPr>
              <w:t>, 1–8. doi: 10.1186/s13071-019-3346-6.</w:t>
            </w:r>
          </w:p>
          <w:p w14:paraId="3B104AA4"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29. </w:t>
            </w:r>
            <w:r w:rsidRPr="00373798">
              <w:rPr>
                <w:rFonts w:ascii="Aptos" w:hAnsi="Aptos"/>
                <w:noProof/>
                <w:sz w:val="20"/>
              </w:rPr>
              <w:tab/>
              <w:t xml:space="preserve">Hermance, M.E., Thangamani, S. (2017) Powassan Virus: An Emerging Arbovirus of Public Health Concern in North America, </w:t>
            </w:r>
            <w:r w:rsidRPr="00373798">
              <w:rPr>
                <w:rFonts w:ascii="Aptos" w:hAnsi="Aptos"/>
                <w:i/>
                <w:iCs/>
                <w:noProof/>
                <w:sz w:val="20"/>
              </w:rPr>
              <w:t>Vector-Borne Zoonotic Dis.</w:t>
            </w:r>
            <w:r w:rsidRPr="00373798">
              <w:rPr>
                <w:rFonts w:ascii="Aptos" w:hAnsi="Aptos"/>
                <w:noProof/>
                <w:sz w:val="20"/>
              </w:rPr>
              <w:t xml:space="preserve">, </w:t>
            </w:r>
            <w:r w:rsidRPr="00373798">
              <w:rPr>
                <w:rFonts w:ascii="Aptos" w:hAnsi="Aptos"/>
                <w:b/>
                <w:bCs/>
                <w:noProof/>
                <w:sz w:val="20"/>
              </w:rPr>
              <w:t>17</w:t>
            </w:r>
            <w:r w:rsidRPr="00373798">
              <w:rPr>
                <w:rFonts w:ascii="Aptos" w:hAnsi="Aptos"/>
                <w:noProof/>
                <w:sz w:val="20"/>
              </w:rPr>
              <w:t>, 453–462. doi: 10.1089/vbz.2017.2110.</w:t>
            </w:r>
          </w:p>
          <w:p w14:paraId="7B0C40F4"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30. </w:t>
            </w:r>
            <w:r w:rsidRPr="00373798">
              <w:rPr>
                <w:rFonts w:ascii="Aptos" w:hAnsi="Aptos"/>
                <w:noProof/>
                <w:sz w:val="20"/>
              </w:rPr>
              <w:tab/>
              <w:t xml:space="preserve">Mansfield, K.L., Horton, D.L., Johnson, N., Li, L., Barrett, A.D.T., Smith, D.J., Galbraith, S.E., Solomon, T., Fooks, A.R. (2011) Flavivirus-induced antibody cross-reactivity, </w:t>
            </w:r>
            <w:r w:rsidRPr="00373798">
              <w:rPr>
                <w:rFonts w:ascii="Aptos" w:hAnsi="Aptos"/>
                <w:i/>
                <w:iCs/>
                <w:noProof/>
                <w:sz w:val="20"/>
              </w:rPr>
              <w:t>J. Gen. Virol.</w:t>
            </w:r>
            <w:r w:rsidRPr="00373798">
              <w:rPr>
                <w:rFonts w:ascii="Aptos" w:hAnsi="Aptos"/>
                <w:noProof/>
                <w:sz w:val="20"/>
              </w:rPr>
              <w:t xml:space="preserve">, </w:t>
            </w:r>
            <w:r w:rsidRPr="00373798">
              <w:rPr>
                <w:rFonts w:ascii="Aptos" w:hAnsi="Aptos"/>
                <w:b/>
                <w:bCs/>
                <w:noProof/>
                <w:sz w:val="20"/>
              </w:rPr>
              <w:t>92</w:t>
            </w:r>
            <w:r w:rsidRPr="00373798">
              <w:rPr>
                <w:rFonts w:ascii="Aptos" w:hAnsi="Aptos"/>
                <w:noProof/>
                <w:sz w:val="20"/>
              </w:rPr>
              <w:t>, 2821–2829. doi: 10.1099/vir.0.031641-0.</w:t>
            </w:r>
          </w:p>
          <w:p w14:paraId="2024C681"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31. </w:t>
            </w:r>
            <w:r w:rsidRPr="00373798">
              <w:rPr>
                <w:rFonts w:ascii="Aptos" w:hAnsi="Aptos"/>
                <w:noProof/>
                <w:sz w:val="20"/>
              </w:rPr>
              <w:tab/>
              <w:t xml:space="preserve">Orlinger, K.K., Hofmeister, Y., Fritz, R., Holzer, G.W., Falkner, F.G., Unger, B., Loew-Baselli, A., Poellabauer, E.M., Ehrlich, H.J., Barrett, P.N., Kreil, T.R. (2011) A tick-borne encephalitis virus vaccine based on the European prototype strain induces broadly reactive cross-neutralizing antibodies in humans, </w:t>
            </w:r>
            <w:r w:rsidRPr="00373798">
              <w:rPr>
                <w:rFonts w:ascii="Aptos" w:hAnsi="Aptos"/>
                <w:i/>
                <w:iCs/>
                <w:noProof/>
                <w:sz w:val="20"/>
              </w:rPr>
              <w:t>J. Infect. Dis.</w:t>
            </w:r>
            <w:r w:rsidRPr="00373798">
              <w:rPr>
                <w:rFonts w:ascii="Aptos" w:hAnsi="Aptos"/>
                <w:noProof/>
                <w:sz w:val="20"/>
              </w:rPr>
              <w:t xml:space="preserve">, </w:t>
            </w:r>
            <w:r w:rsidRPr="00373798">
              <w:rPr>
                <w:rFonts w:ascii="Aptos" w:hAnsi="Aptos"/>
                <w:b/>
                <w:bCs/>
                <w:noProof/>
                <w:sz w:val="20"/>
              </w:rPr>
              <w:t>203</w:t>
            </w:r>
            <w:r w:rsidRPr="00373798">
              <w:rPr>
                <w:rFonts w:ascii="Aptos" w:hAnsi="Aptos"/>
                <w:noProof/>
                <w:sz w:val="20"/>
              </w:rPr>
              <w:t>, 1556–1564. doi: 10.1093/infdis/jir122.</w:t>
            </w:r>
          </w:p>
          <w:p w14:paraId="3DE01210"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32. </w:t>
            </w:r>
            <w:r w:rsidRPr="00373798">
              <w:rPr>
                <w:rFonts w:ascii="Aptos" w:hAnsi="Aptos"/>
                <w:noProof/>
                <w:sz w:val="20"/>
              </w:rPr>
              <w:tab/>
              <w:t xml:space="preserve">Chernokhaeva, L.L., Rogova, Y. V., Kozlovskaya, L.I., Romanova, L.I., Osolodkin, D.I., Vorovitch, M.F., Karganova, G.G. (2018) Experimental Evaluation of the Protective Efficacy of Tick-Borne Encephalitis (TBE) Vaccines Based on European and Far-Eastern TBEV Strains in Mice and in Vitro, </w:t>
            </w:r>
            <w:r w:rsidRPr="00373798">
              <w:rPr>
                <w:rFonts w:ascii="Aptos" w:hAnsi="Aptos"/>
                <w:i/>
                <w:iCs/>
                <w:noProof/>
                <w:sz w:val="20"/>
              </w:rPr>
              <w:t>Front Microbiol</w:t>
            </w:r>
            <w:r w:rsidRPr="00373798">
              <w:rPr>
                <w:rFonts w:ascii="Aptos" w:hAnsi="Aptos"/>
                <w:noProof/>
                <w:sz w:val="20"/>
              </w:rPr>
              <w:t xml:space="preserve">, </w:t>
            </w:r>
            <w:r w:rsidRPr="00373798">
              <w:rPr>
                <w:rFonts w:ascii="Aptos" w:hAnsi="Aptos"/>
                <w:b/>
                <w:bCs/>
                <w:noProof/>
                <w:sz w:val="20"/>
              </w:rPr>
              <w:t>9</w:t>
            </w:r>
            <w:r w:rsidRPr="00373798">
              <w:rPr>
                <w:rFonts w:ascii="Aptos" w:hAnsi="Aptos"/>
                <w:noProof/>
                <w:sz w:val="20"/>
              </w:rPr>
              <w:t>, 1487. doi: 10.3389/fmicb.2018.01487.</w:t>
            </w:r>
          </w:p>
          <w:p w14:paraId="5821C96D"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33. </w:t>
            </w:r>
            <w:r w:rsidRPr="00373798">
              <w:rPr>
                <w:rFonts w:ascii="Aptos" w:hAnsi="Aptos"/>
                <w:noProof/>
                <w:sz w:val="20"/>
              </w:rPr>
              <w:tab/>
              <w:t xml:space="preserve">Kuchina, V., Tuchynskaya, K., Rogova, A., Karganova, G. (2026) Omsk Hemorrhagic Fever Virus and Powassan Virus Infections at Different Times After Immunization with the TBE Vaccine in In Vivo Experiments, </w:t>
            </w:r>
            <w:r w:rsidRPr="00373798">
              <w:rPr>
                <w:rFonts w:ascii="Aptos" w:hAnsi="Aptos"/>
                <w:i/>
                <w:iCs/>
                <w:noProof/>
                <w:sz w:val="20"/>
              </w:rPr>
              <w:t>Int. J. Mol. Sci.</w:t>
            </w:r>
            <w:r w:rsidRPr="00373798">
              <w:rPr>
                <w:rFonts w:ascii="Aptos" w:hAnsi="Aptos"/>
                <w:noProof/>
                <w:sz w:val="20"/>
              </w:rPr>
              <w:t xml:space="preserve">, </w:t>
            </w:r>
            <w:r w:rsidRPr="00373798">
              <w:rPr>
                <w:rFonts w:ascii="Aptos" w:hAnsi="Aptos"/>
                <w:b/>
                <w:bCs/>
                <w:noProof/>
                <w:sz w:val="20"/>
              </w:rPr>
              <w:t>27</w:t>
            </w:r>
            <w:r w:rsidRPr="00373798">
              <w:rPr>
                <w:rFonts w:ascii="Aptos" w:hAnsi="Aptos"/>
                <w:noProof/>
                <w:sz w:val="20"/>
              </w:rPr>
              <w:t>, 1–26. doi: 10.3390/ijms27125435.</w:t>
            </w:r>
          </w:p>
          <w:p w14:paraId="23393DBB"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34. </w:t>
            </w:r>
            <w:r w:rsidRPr="00373798">
              <w:rPr>
                <w:rFonts w:ascii="Aptos" w:hAnsi="Aptos"/>
                <w:noProof/>
                <w:sz w:val="20"/>
              </w:rPr>
              <w:tab/>
              <w:t xml:space="preserve">Růžek, D., Yakimenko, V. V, Karan, L.S., Tkachev, S.E. (2010) Omsk haemorrhagic fever., </w:t>
            </w:r>
            <w:r w:rsidRPr="00373798">
              <w:rPr>
                <w:rFonts w:ascii="Aptos" w:hAnsi="Aptos"/>
                <w:i/>
                <w:iCs/>
                <w:noProof/>
                <w:sz w:val="20"/>
              </w:rPr>
              <w:t>Lancet (London, England)</w:t>
            </w:r>
            <w:r w:rsidRPr="00373798">
              <w:rPr>
                <w:rFonts w:ascii="Aptos" w:hAnsi="Aptos"/>
                <w:noProof/>
                <w:sz w:val="20"/>
              </w:rPr>
              <w:t xml:space="preserve">, </w:t>
            </w:r>
            <w:r w:rsidRPr="00373798">
              <w:rPr>
                <w:rFonts w:ascii="Aptos" w:hAnsi="Aptos"/>
                <w:b/>
                <w:bCs/>
                <w:noProof/>
                <w:sz w:val="20"/>
              </w:rPr>
              <w:t>376</w:t>
            </w:r>
            <w:r w:rsidRPr="00373798">
              <w:rPr>
                <w:rFonts w:ascii="Aptos" w:hAnsi="Aptos"/>
                <w:noProof/>
                <w:sz w:val="20"/>
              </w:rPr>
              <w:t>, 2104–13. doi: 10.1016/S0140-6736(10)61120-8.</w:t>
            </w:r>
          </w:p>
          <w:p w14:paraId="6601EE52"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35. </w:t>
            </w:r>
            <w:r w:rsidRPr="00373798">
              <w:rPr>
                <w:rFonts w:ascii="Aptos" w:hAnsi="Aptos"/>
                <w:noProof/>
                <w:sz w:val="20"/>
              </w:rPr>
              <w:tab/>
              <w:t xml:space="preserve">Davidson, M.M., Williams, H., Macleod, J.A.J. (1991) Louping ill in man: A forgotten disease, </w:t>
            </w:r>
            <w:r w:rsidRPr="00373798">
              <w:rPr>
                <w:rFonts w:ascii="Aptos" w:hAnsi="Aptos"/>
                <w:i/>
                <w:iCs/>
                <w:noProof/>
                <w:sz w:val="20"/>
              </w:rPr>
              <w:t>J. Infect.</w:t>
            </w:r>
            <w:r w:rsidRPr="00373798">
              <w:rPr>
                <w:rFonts w:ascii="Aptos" w:hAnsi="Aptos"/>
                <w:noProof/>
                <w:sz w:val="20"/>
              </w:rPr>
              <w:t xml:space="preserve">, </w:t>
            </w:r>
            <w:r w:rsidRPr="00373798">
              <w:rPr>
                <w:rFonts w:ascii="Aptos" w:hAnsi="Aptos"/>
                <w:b/>
                <w:bCs/>
                <w:noProof/>
                <w:sz w:val="20"/>
              </w:rPr>
              <w:t>23</w:t>
            </w:r>
            <w:r w:rsidRPr="00373798">
              <w:rPr>
                <w:rFonts w:ascii="Aptos" w:hAnsi="Aptos"/>
                <w:noProof/>
                <w:sz w:val="20"/>
              </w:rPr>
              <w:t>, 241–249. doi: 10.1016/0163-4453(91)92756-U.</w:t>
            </w:r>
          </w:p>
          <w:p w14:paraId="7320B340"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36. </w:t>
            </w:r>
            <w:r w:rsidRPr="00373798">
              <w:rPr>
                <w:rFonts w:ascii="Aptos" w:hAnsi="Aptos"/>
                <w:noProof/>
                <w:sz w:val="20"/>
              </w:rPr>
              <w:tab/>
              <w:t xml:space="preserve">Romanova, L.I., Gmyl, A.P., Dzhivanian, T.I., Bakhmutov, D. V., Lukashev, A.N., Gmyl, L. V., Rumyantsev, A.A., Burenkova, L.A., Lashkevich, V.A., Karganova, G.G. (2007) Microevolution of tick-borne encephalitis virus in course of host alternation, </w:t>
            </w:r>
            <w:r w:rsidRPr="00373798">
              <w:rPr>
                <w:rFonts w:ascii="Aptos" w:hAnsi="Aptos"/>
                <w:i/>
                <w:iCs/>
                <w:noProof/>
                <w:sz w:val="20"/>
              </w:rPr>
              <w:t>Virology</w:t>
            </w:r>
            <w:r w:rsidRPr="00373798">
              <w:rPr>
                <w:rFonts w:ascii="Aptos" w:hAnsi="Aptos"/>
                <w:noProof/>
                <w:sz w:val="20"/>
              </w:rPr>
              <w:t xml:space="preserve">, </w:t>
            </w:r>
            <w:r w:rsidRPr="00373798">
              <w:rPr>
                <w:rFonts w:ascii="Aptos" w:hAnsi="Aptos"/>
                <w:b/>
                <w:bCs/>
                <w:noProof/>
                <w:sz w:val="20"/>
              </w:rPr>
              <w:t>362</w:t>
            </w:r>
            <w:r w:rsidRPr="00373798">
              <w:rPr>
                <w:rFonts w:ascii="Aptos" w:hAnsi="Aptos"/>
                <w:noProof/>
                <w:sz w:val="20"/>
              </w:rPr>
              <w:t>, 75–84. doi: 10.1016/j.virol.2006.12.013.</w:t>
            </w:r>
          </w:p>
          <w:p w14:paraId="48899AEE" w14:textId="77777777" w:rsidR="00234D98" w:rsidRPr="00373798" w:rsidRDefault="00234D98" w:rsidP="00234D98">
            <w:pPr>
              <w:widowControl w:val="0"/>
              <w:autoSpaceDE w:val="0"/>
              <w:autoSpaceDN w:val="0"/>
              <w:adjustRightInd w:val="0"/>
              <w:ind w:left="640" w:hanging="640"/>
              <w:rPr>
                <w:rFonts w:ascii="Aptos" w:hAnsi="Aptos"/>
                <w:noProof/>
                <w:sz w:val="20"/>
              </w:rPr>
            </w:pPr>
            <w:r w:rsidRPr="00373798">
              <w:rPr>
                <w:rFonts w:ascii="Aptos" w:hAnsi="Aptos"/>
                <w:noProof/>
                <w:sz w:val="20"/>
              </w:rPr>
              <w:t xml:space="preserve">37. </w:t>
            </w:r>
            <w:r w:rsidRPr="00373798">
              <w:rPr>
                <w:rFonts w:ascii="Aptos" w:hAnsi="Aptos"/>
                <w:noProof/>
                <w:sz w:val="20"/>
              </w:rPr>
              <w:tab/>
              <w:t xml:space="preserve">Nikitin, A.Y., Andaev, E.I., Tolmacheva, M.I., Zarva, I.D., Bondaryuk, A.N., Yatsmenko, E. V., Matveeva, V.A., Sidorova, E.A., Adel’shin, R. V., Kolesnikova, V.Y., Balakhonov, S. V. (2024) Epidemiological Situation on Tick-Borne Encephalitis in the Russian Federation in 2014–2023 and Short-Term Forecast of the Incidence for 2024, </w:t>
            </w:r>
            <w:r w:rsidRPr="00373798">
              <w:rPr>
                <w:rFonts w:ascii="Aptos" w:hAnsi="Aptos"/>
                <w:i/>
                <w:iCs/>
                <w:noProof/>
                <w:sz w:val="20"/>
              </w:rPr>
              <w:t>Probl. Part. Danger. Infect.</w:t>
            </w:r>
            <w:r w:rsidRPr="00373798">
              <w:rPr>
                <w:rFonts w:ascii="Aptos" w:hAnsi="Aptos"/>
                <w:noProof/>
                <w:sz w:val="20"/>
              </w:rPr>
              <w:t>, 48–58. doi: 10.21055/0370-1069-2024-1-48-58.</w:t>
            </w:r>
          </w:p>
          <w:p w14:paraId="11D22677" w14:textId="642C40AA" w:rsidR="00953FFE" w:rsidRPr="00373798" w:rsidRDefault="00F65354" w:rsidP="00DD58AA">
            <w:pPr>
              <w:rPr>
                <w:rFonts w:ascii="Aptos" w:hAnsi="Aptos" w:cs="Arial"/>
                <w:sz w:val="20"/>
                <w:szCs w:val="20"/>
              </w:rPr>
            </w:pPr>
            <w:r w:rsidRPr="00373798">
              <w:rPr>
                <w:rFonts w:ascii="Aptos" w:hAnsi="Aptos" w:cs="Arial"/>
                <w:sz w:val="20"/>
                <w:szCs w:val="20"/>
              </w:rPr>
              <w:fldChar w:fldCharType="end"/>
            </w:r>
          </w:p>
          <w:p w14:paraId="7D1B1CCD" w14:textId="7AB76FDB" w:rsidR="00953FFE" w:rsidRPr="00373798" w:rsidRDefault="00953FFE" w:rsidP="00333392">
            <w:pPr>
              <w:rPr>
                <w:rFonts w:ascii="Aptos" w:hAnsi="Aptos"/>
                <w:sz w:val="20"/>
                <w:szCs w:val="20"/>
              </w:rPr>
            </w:pPr>
            <w:r w:rsidRPr="00373798">
              <w:rPr>
                <w:rFonts w:ascii="Aptos" w:hAnsi="Aptos" w:cs="Arial"/>
                <w:sz w:val="20"/>
                <w:szCs w:val="20"/>
              </w:rPr>
              <w:t xml:space="preserve">  </w:t>
            </w:r>
            <w:r w:rsidRPr="00373798">
              <w:rPr>
                <w:rFonts w:ascii="Aptos" w:hAnsi="Aptos"/>
                <w:sz w:val="20"/>
                <w:szCs w:val="20"/>
              </w:rPr>
              <w:t xml:space="preserve">  </w:t>
            </w:r>
          </w:p>
        </w:tc>
      </w:tr>
    </w:tbl>
    <w:p w14:paraId="58E1BBA6" w14:textId="1F0AF19E" w:rsidR="00E92794" w:rsidRPr="00373798" w:rsidRDefault="00E92794" w:rsidP="00DD58AA">
      <w:pPr>
        <w:rPr>
          <w:rFonts w:ascii="Aptos" w:hAnsi="Aptos"/>
        </w:rPr>
      </w:pPr>
    </w:p>
    <w:p w14:paraId="44DC363F" w14:textId="04B25CFD" w:rsidR="00E92794" w:rsidRPr="00373798" w:rsidRDefault="00ED52B2">
      <w:pPr>
        <w:rPr>
          <w:rFonts w:ascii="Aptos" w:hAnsi="Aptos"/>
        </w:rPr>
      </w:pPr>
      <w:r w:rsidRPr="00373798">
        <w:rPr>
          <w:rFonts w:ascii="Aptos" w:hAnsi="Aptos"/>
          <w:noProof/>
          <w:lang w:val="ru-RU" w:eastAsia="ru-RU"/>
        </w:rPr>
        <mc:AlternateContent>
          <mc:Choice Requires="wps">
            <w:drawing>
              <wp:inline distT="0" distB="0" distL="0" distR="0" wp14:anchorId="4CF3DA1E" wp14:editId="1722FD93">
                <wp:extent cx="304800" cy="304800"/>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012A0E" id="Прямоугольник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cwZ14A4CAADVAwAA&#10;DgAAAAAAAAAAAAAAAAAuAgAAZHJzL2Uyb0RvYy54bWxQSwECLQAUAAYACAAAACEATKDpLNgAAAAD&#10;AQAADwAAAAAAAAAAAAAAAABoBAAAZHJzL2Rvd25yZXYueG1sUEsFBgAAAAAEAAQA8wAAAG0FAAAA&#10;AA==&#10;" filled="f" stroked="f">
                <o:lock v:ext="edit" aspectratio="t"/>
                <w10:anchorlock/>
              </v:rect>
            </w:pict>
          </mc:Fallback>
        </mc:AlternateContent>
      </w:r>
      <w:r w:rsidR="00E92794" w:rsidRPr="00373798">
        <w:rPr>
          <w:rFonts w:ascii="Aptos" w:hAnsi="Aptos"/>
        </w:rPr>
        <w:br w:type="page"/>
      </w:r>
    </w:p>
    <w:p w14:paraId="684B91F7" w14:textId="77777777" w:rsidR="00FC2269" w:rsidRPr="00373798" w:rsidRDefault="00FC2269" w:rsidP="00DD58AA">
      <w:pPr>
        <w:rPr>
          <w:rFonts w:ascii="Aptos" w:hAnsi="Aptos"/>
        </w:rPr>
      </w:pPr>
    </w:p>
    <w:tbl>
      <w:tblPr>
        <w:tblStyle w:val="TableGrid"/>
        <w:tblW w:w="0" w:type="auto"/>
        <w:tblLook w:val="04A0" w:firstRow="1" w:lastRow="0" w:firstColumn="1" w:lastColumn="0" w:noHBand="0" w:noVBand="1"/>
      </w:tblPr>
      <w:tblGrid>
        <w:gridCol w:w="8926"/>
      </w:tblGrid>
      <w:tr w:rsidR="006C0F51" w:rsidRPr="00373798" w14:paraId="4041B6A7" w14:textId="77777777" w:rsidTr="006C0F51">
        <w:tc>
          <w:tcPr>
            <w:tcW w:w="8926" w:type="dxa"/>
            <w:shd w:val="clear" w:color="auto" w:fill="F2F2F2" w:themeFill="background1" w:themeFillShade="F2"/>
          </w:tcPr>
          <w:p w14:paraId="39E278D1" w14:textId="415EB658" w:rsidR="006C0F51" w:rsidRPr="00373798" w:rsidRDefault="006C0F51" w:rsidP="006C0F51">
            <w:pPr>
              <w:pStyle w:val="BodyTextIndent"/>
              <w:ind w:left="0" w:firstLine="0"/>
              <w:rPr>
                <w:rFonts w:ascii="Aptos" w:hAnsi="Aptos"/>
                <w:color w:val="0070C0"/>
                <w:sz w:val="20"/>
              </w:rPr>
            </w:pPr>
            <w:r w:rsidRPr="00373798">
              <w:rPr>
                <w:rFonts w:ascii="Aptos" w:hAnsi="Aptos" w:cs="Arial"/>
                <w:b/>
                <w:iCs/>
                <w:sz w:val="20"/>
              </w:rPr>
              <w:t xml:space="preserve">Tables, Figures:  </w:t>
            </w:r>
          </w:p>
        </w:tc>
      </w:tr>
    </w:tbl>
    <w:p w14:paraId="309A5264" w14:textId="7B538C35" w:rsidR="003C7F13" w:rsidRPr="00373798" w:rsidRDefault="003C7F13" w:rsidP="00FC2269">
      <w:pPr>
        <w:rPr>
          <w:rFonts w:ascii="Aptos" w:hAnsi="Aptos" w:cs="Arial"/>
          <w:color w:val="808080" w:themeColor="background1" w:themeShade="80"/>
          <w:sz w:val="20"/>
        </w:rPr>
      </w:pPr>
    </w:p>
    <w:p w14:paraId="4F36D672" w14:textId="77777777" w:rsidR="003C7F13" w:rsidRPr="00373798" w:rsidRDefault="003C7F13">
      <w:pPr>
        <w:rPr>
          <w:rFonts w:ascii="Aptos" w:hAnsi="Aptos" w:cs="Arial"/>
          <w:color w:val="808080" w:themeColor="background1" w:themeShade="80"/>
          <w:sz w:val="20"/>
        </w:rPr>
      </w:pPr>
      <w:r w:rsidRPr="00373798">
        <w:rPr>
          <w:rFonts w:ascii="Aptos" w:hAnsi="Aptos" w:cs="Arial"/>
          <w:color w:val="808080" w:themeColor="background1" w:themeShade="80"/>
          <w:sz w:val="20"/>
        </w:rPr>
        <w:br w:type="page"/>
      </w:r>
    </w:p>
    <w:p w14:paraId="05CDC3BC" w14:textId="77777777" w:rsidR="003C7F13" w:rsidRPr="00373798" w:rsidRDefault="003C7F13" w:rsidP="003C7F13">
      <w:pPr>
        <w:rPr>
          <w:rFonts w:ascii="Aptos" w:hAnsi="Aptos" w:cs="Arial"/>
          <w:color w:val="808080" w:themeColor="background1" w:themeShade="80"/>
          <w:sz w:val="20"/>
          <w:szCs w:val="20"/>
        </w:rPr>
      </w:pPr>
      <w:r w:rsidRPr="00373798">
        <w:rPr>
          <w:rFonts w:ascii="Aptos" w:hAnsi="Aptos"/>
          <w:noProof/>
          <w:lang w:val="ru-RU" w:eastAsia="ru-RU"/>
        </w:rPr>
        <w:lastRenderedPageBreak/>
        <w:drawing>
          <wp:inline distT="0" distB="0" distL="0" distR="0" wp14:anchorId="41DAC17D" wp14:editId="003DA91D">
            <wp:extent cx="5926455" cy="731583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26455" cy="7315835"/>
                    </a:xfrm>
                    <a:prstGeom prst="rect">
                      <a:avLst/>
                    </a:prstGeom>
                    <a:noFill/>
                    <a:ln>
                      <a:noFill/>
                    </a:ln>
                  </pic:spPr>
                </pic:pic>
              </a:graphicData>
            </a:graphic>
          </wp:inline>
        </w:drawing>
      </w:r>
      <w:r w:rsidRPr="00373798">
        <w:rPr>
          <w:rStyle w:val="BodyTextIndentChar"/>
          <w:rFonts w:ascii="Aptos" w:hAnsi="Aptos"/>
          <w:sz w:val="20"/>
        </w:rPr>
        <w:t xml:space="preserve"> </w:t>
      </w:r>
      <w:r w:rsidRPr="00373798">
        <w:rPr>
          <w:rStyle w:val="Strong"/>
          <w:rFonts w:ascii="Aptos" w:hAnsi="Aptos"/>
          <w:sz w:val="20"/>
          <w:szCs w:val="20"/>
        </w:rPr>
        <w:t>Figure 1. Phylogenetic relationships of tick-borne orthoflaviviruses and comparison of alternative species delimitation schemes.</w:t>
      </w:r>
      <w:r w:rsidRPr="00373798">
        <w:rPr>
          <w:rFonts w:ascii="Aptos" w:hAnsi="Aptos"/>
          <w:sz w:val="20"/>
          <w:szCs w:val="20"/>
        </w:rPr>
        <w:t xml:space="preserve"> The evolutionary history was inferred using the Neighbor-Joining method based on complete polyprotein nucleotide sequences. The tree was constructed using the p-distance method (uncorrected nucleotide distances) and includes 112 sequences with 10,445 positions retained after removal of ambiguous sites. Branch lengths represent evolutionary distances expressed as substitutions per site. Bootstrap support values (1,000 replicates) are shown only for nodes corresponding to major taxonomic groupings and are indicated by filled squares for supported nodes. The current ICTV-recognized classification, in which the tick-borne encephalitis virus complex is divided into four species, is shown alongside the proposed classification scheme, in which these lineages are consolidated into a single species, </w:t>
      </w:r>
      <w:r w:rsidRPr="00373798">
        <w:rPr>
          <w:rStyle w:val="Emphasis"/>
          <w:rFonts w:ascii="Aptos" w:hAnsi="Aptos"/>
          <w:sz w:val="20"/>
          <w:szCs w:val="20"/>
        </w:rPr>
        <w:t xml:space="preserve">Orthoflavivirus </w:t>
      </w:r>
      <w:proofErr w:type="spellStart"/>
      <w:r w:rsidRPr="00373798">
        <w:rPr>
          <w:rStyle w:val="Emphasis"/>
          <w:rFonts w:ascii="Aptos" w:hAnsi="Aptos"/>
          <w:sz w:val="20"/>
          <w:szCs w:val="20"/>
        </w:rPr>
        <w:t>eurasiaticus</w:t>
      </w:r>
      <w:proofErr w:type="spellEnd"/>
      <w:r w:rsidRPr="00373798">
        <w:rPr>
          <w:rFonts w:ascii="Aptos" w:hAnsi="Aptos"/>
          <w:sz w:val="20"/>
          <w:szCs w:val="20"/>
        </w:rPr>
        <w:t xml:space="preserve">, with inclusion of Omsk virus lineages. Colored branches indicate the </w:t>
      </w:r>
      <w:r w:rsidRPr="00373798">
        <w:rPr>
          <w:rFonts w:ascii="Aptos" w:hAnsi="Aptos"/>
          <w:sz w:val="20"/>
          <w:szCs w:val="20"/>
        </w:rPr>
        <w:lastRenderedPageBreak/>
        <w:t xml:space="preserve">proposed subtype structure within </w:t>
      </w:r>
      <w:r w:rsidRPr="00373798">
        <w:rPr>
          <w:rStyle w:val="Emphasis"/>
          <w:rFonts w:ascii="Aptos" w:hAnsi="Aptos"/>
          <w:sz w:val="20"/>
          <w:szCs w:val="20"/>
        </w:rPr>
        <w:t xml:space="preserve">O. </w:t>
      </w:r>
      <w:proofErr w:type="spellStart"/>
      <w:r w:rsidRPr="00373798">
        <w:rPr>
          <w:rStyle w:val="Emphasis"/>
          <w:rFonts w:ascii="Aptos" w:hAnsi="Aptos"/>
          <w:sz w:val="20"/>
          <w:szCs w:val="20"/>
        </w:rPr>
        <w:t>eurasiaticus</w:t>
      </w:r>
      <w:proofErr w:type="spellEnd"/>
      <w:r w:rsidRPr="00373798">
        <w:rPr>
          <w:rFonts w:ascii="Aptos" w:hAnsi="Aptos"/>
          <w:sz w:val="20"/>
          <w:szCs w:val="20"/>
        </w:rPr>
        <w:t>; other orthoflaviviruses are shown in black. Evolutionary analyses were conducted in MEGA7.</w:t>
      </w:r>
    </w:p>
    <w:p w14:paraId="32A83DB1" w14:textId="77777777" w:rsidR="00E92794" w:rsidRPr="00373798" w:rsidRDefault="00E92794" w:rsidP="00FC2269">
      <w:pPr>
        <w:rPr>
          <w:rFonts w:ascii="Aptos" w:hAnsi="Aptos" w:cs="Arial"/>
          <w:color w:val="808080" w:themeColor="background1" w:themeShade="80"/>
          <w:sz w:val="20"/>
        </w:rPr>
      </w:pPr>
    </w:p>
    <w:p w14:paraId="2BF561F6" w14:textId="77777777" w:rsidR="00712195" w:rsidRPr="00373798" w:rsidRDefault="00712195" w:rsidP="00FC2269">
      <w:pPr>
        <w:rPr>
          <w:rFonts w:ascii="Aptos" w:hAnsi="Aptos" w:cs="Arial"/>
          <w:color w:val="808080" w:themeColor="background1" w:themeShade="80"/>
          <w:sz w:val="20"/>
        </w:rPr>
      </w:pPr>
    </w:p>
    <w:p w14:paraId="15F26241" w14:textId="399DE412" w:rsidR="00712195" w:rsidRPr="00373798" w:rsidRDefault="000E71D7" w:rsidP="00712195">
      <w:pPr>
        <w:rPr>
          <w:rFonts w:ascii="Aptos" w:hAnsi="Aptos"/>
        </w:rPr>
      </w:pPr>
      <w:r w:rsidRPr="00373798">
        <w:rPr>
          <w:rFonts w:ascii="Aptos" w:hAnsi="Aptos"/>
          <w:noProof/>
          <w:lang w:val="ru-RU" w:eastAsia="ru-RU"/>
        </w:rPr>
        <w:drawing>
          <wp:inline distT="0" distB="0" distL="0" distR="0" wp14:anchorId="79436B04" wp14:editId="659DD7A6">
            <wp:extent cx="5926455" cy="168529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6455" cy="1685290"/>
                    </a:xfrm>
                    <a:prstGeom prst="rect">
                      <a:avLst/>
                    </a:prstGeom>
                    <a:noFill/>
                    <a:ln>
                      <a:noFill/>
                    </a:ln>
                  </pic:spPr>
                </pic:pic>
              </a:graphicData>
            </a:graphic>
          </wp:inline>
        </w:drawing>
      </w:r>
    </w:p>
    <w:p w14:paraId="13E274CE" w14:textId="699666AB" w:rsidR="00712195" w:rsidRPr="00373798" w:rsidRDefault="00712195" w:rsidP="00712195">
      <w:pPr>
        <w:rPr>
          <w:rFonts w:ascii="Aptos" w:hAnsi="Aptos"/>
          <w:sz w:val="20"/>
          <w:szCs w:val="20"/>
        </w:rPr>
      </w:pPr>
      <w:r w:rsidRPr="00373798">
        <w:rPr>
          <w:rFonts w:ascii="Aptos" w:hAnsi="Aptos"/>
          <w:b/>
          <w:bCs/>
          <w:sz w:val="20"/>
          <w:szCs w:val="20"/>
        </w:rPr>
        <w:t xml:space="preserve">Figure </w:t>
      </w:r>
      <w:r w:rsidR="003C7F13" w:rsidRPr="00373798">
        <w:rPr>
          <w:rFonts w:ascii="Aptos" w:hAnsi="Aptos"/>
          <w:b/>
          <w:bCs/>
          <w:sz w:val="20"/>
          <w:szCs w:val="20"/>
        </w:rPr>
        <w:t>2</w:t>
      </w:r>
      <w:r w:rsidRPr="00373798">
        <w:rPr>
          <w:rFonts w:ascii="Aptos" w:hAnsi="Aptos"/>
          <w:b/>
          <w:bCs/>
          <w:sz w:val="20"/>
          <w:szCs w:val="20"/>
        </w:rPr>
        <w:t>. Pairwise nucleotide and amino acid divergence among orthoflaviviruses based on complete polyprotein sequences.</w:t>
      </w:r>
      <w:r w:rsidR="003C7F13" w:rsidRPr="00373798">
        <w:rPr>
          <w:rFonts w:ascii="Aptos" w:hAnsi="Aptos"/>
          <w:b/>
          <w:bCs/>
          <w:sz w:val="20"/>
          <w:szCs w:val="20"/>
        </w:rPr>
        <w:t xml:space="preserve"> </w:t>
      </w:r>
      <w:r w:rsidRPr="00373798">
        <w:rPr>
          <w:rFonts w:ascii="Aptos" w:hAnsi="Aptos"/>
          <w:sz w:val="20"/>
          <w:szCs w:val="20"/>
        </w:rPr>
        <w:t>Pairwise nucleotide and deduced amino acid distances were calculated from complete polyprotein sequences</w:t>
      </w:r>
      <w:r w:rsidR="00FE4AC7" w:rsidRPr="00373798">
        <w:rPr>
          <w:rFonts w:ascii="Aptos" w:hAnsi="Aptos"/>
          <w:sz w:val="20"/>
          <w:szCs w:val="20"/>
        </w:rPr>
        <w:t>.</w:t>
      </w:r>
      <w:r w:rsidR="000F1C29" w:rsidRPr="00373798">
        <w:rPr>
          <w:rFonts w:ascii="Aptos" w:hAnsi="Aptos"/>
          <w:sz w:val="20"/>
          <w:szCs w:val="20"/>
        </w:rPr>
        <w:t xml:space="preserve"> Blue dots represent intraspecific comparisons, whereas red dots represent interspecific comparisons</w:t>
      </w:r>
      <w:r w:rsidRPr="00373798">
        <w:rPr>
          <w:rFonts w:ascii="Aptos" w:hAnsi="Aptos"/>
          <w:sz w:val="20"/>
          <w:szCs w:val="20"/>
        </w:rPr>
        <w:t xml:space="preserve">. Dashed lines indicate the observed separation ranges between intra- and interspecific comparisons. The nucleotide uncorrected distances along the x-axis show a discontinuity at approximately 21.4–24.6% divergence. (A) Amino acid distances calculated using uncorrected pairwise (Hamming) distances. The discontinuity between intra- and interspecific comparisons occurs at approximately 12.3–15.1% amino acid divergence. (B) Amino acid distances estimated using the BLOSUM62 substitution model. The same discontinuity is observed, with the corresponding separation range of approximately 13.5–16.7%. The difference in absolute values reflects the correction procedure, whereas the overall pattern of separation remains unchanged. The code for the Figure </w:t>
      </w:r>
      <w:r w:rsidR="00E825D9" w:rsidRPr="00373798">
        <w:rPr>
          <w:rFonts w:ascii="Aptos" w:hAnsi="Aptos"/>
          <w:sz w:val="20"/>
          <w:szCs w:val="20"/>
        </w:rPr>
        <w:t>2</w:t>
      </w:r>
      <w:r w:rsidRPr="00373798">
        <w:rPr>
          <w:rFonts w:ascii="Aptos" w:hAnsi="Aptos"/>
          <w:sz w:val="20"/>
          <w:szCs w:val="20"/>
        </w:rPr>
        <w:t xml:space="preserve"> and </w:t>
      </w:r>
      <w:r w:rsidR="00E825D9" w:rsidRPr="00373798">
        <w:rPr>
          <w:rFonts w:ascii="Aptos" w:hAnsi="Aptos"/>
          <w:sz w:val="20"/>
          <w:szCs w:val="20"/>
        </w:rPr>
        <w:t>3</w:t>
      </w:r>
      <w:r w:rsidRPr="00373798">
        <w:rPr>
          <w:rFonts w:ascii="Aptos" w:hAnsi="Aptos"/>
          <w:sz w:val="20"/>
          <w:szCs w:val="20"/>
        </w:rPr>
        <w:t xml:space="preserve"> generation is available at </w:t>
      </w:r>
      <w:hyperlink r:id="rId11" w:history="1">
        <w:r w:rsidR="00E67A71" w:rsidRPr="00373798">
          <w:rPr>
            <w:rStyle w:val="Hyperlink"/>
            <w:rFonts w:ascii="Aptos" w:hAnsi="Aptos"/>
            <w:sz w:val="20"/>
            <w:szCs w:val="20"/>
          </w:rPr>
          <w:t>https://github.com/AndreiDeviatkin/repo/blob/main/Orthoflavivirus_eurasiaticus_proposal/Figure2+Figure3_generation.R</w:t>
        </w:r>
      </w:hyperlink>
      <w:r w:rsidR="00E67A71" w:rsidRPr="00373798">
        <w:rPr>
          <w:rFonts w:ascii="Aptos" w:hAnsi="Aptos"/>
          <w:sz w:val="20"/>
          <w:szCs w:val="20"/>
        </w:rPr>
        <w:t xml:space="preserve">. </w:t>
      </w:r>
      <w:r w:rsidRPr="00373798">
        <w:rPr>
          <w:rFonts w:ascii="Aptos" w:hAnsi="Aptos"/>
          <w:sz w:val="20"/>
          <w:szCs w:val="20"/>
        </w:rPr>
        <w:t xml:space="preserve">Multiple alignment </w:t>
      </w:r>
      <w:r w:rsidR="000F1C29" w:rsidRPr="00373798">
        <w:rPr>
          <w:rFonts w:ascii="Aptos" w:hAnsi="Aptos"/>
          <w:sz w:val="20"/>
          <w:szCs w:val="20"/>
        </w:rPr>
        <w:t xml:space="preserve">used for the generation of this figure is available at </w:t>
      </w:r>
      <w:hyperlink r:id="rId12" w:history="1">
        <w:r w:rsidR="000F1C29" w:rsidRPr="00373798">
          <w:rPr>
            <w:rStyle w:val="Hyperlink"/>
            <w:rFonts w:ascii="Aptos" w:hAnsi="Aptos"/>
            <w:sz w:val="20"/>
            <w:szCs w:val="20"/>
          </w:rPr>
          <w:t>https://github.com/AndreiDeviatkin/repo/blob/main/Selection_pressure_profile_suggests_species_criteria_among_tick-borne_flaviviruses/data/MAFFT_based_alignments/tick_nt_0.98_al_ORF.fas</w:t>
        </w:r>
      </w:hyperlink>
      <w:r w:rsidR="000F1C29" w:rsidRPr="00373798">
        <w:rPr>
          <w:rFonts w:ascii="Aptos" w:hAnsi="Aptos"/>
          <w:sz w:val="20"/>
          <w:szCs w:val="20"/>
        </w:rPr>
        <w:t xml:space="preserve"> (nucleotide alignment) and </w:t>
      </w:r>
      <w:hyperlink r:id="rId13" w:history="1">
        <w:r w:rsidR="000F1C29" w:rsidRPr="00373798">
          <w:rPr>
            <w:rStyle w:val="Hyperlink"/>
            <w:rFonts w:ascii="Aptos" w:hAnsi="Aptos"/>
            <w:sz w:val="20"/>
            <w:szCs w:val="20"/>
          </w:rPr>
          <w:t>https://github.com/AndreiDeviatkin/repo/blob/main/Selection_pressure_profile_suggests_species_criteria_among_tick-borne_flaviviruses/data/MAFFT_based_alignments/tick_aa_0.98_al_ORF.fas</w:t>
        </w:r>
      </w:hyperlink>
      <w:r w:rsidR="000F1C29" w:rsidRPr="00373798">
        <w:rPr>
          <w:rFonts w:ascii="Aptos" w:hAnsi="Aptos"/>
          <w:sz w:val="20"/>
          <w:szCs w:val="20"/>
        </w:rPr>
        <w:t xml:space="preserve"> (amino acid alignment).</w:t>
      </w:r>
    </w:p>
    <w:p w14:paraId="6EA56189" w14:textId="77777777" w:rsidR="00712195" w:rsidRPr="00373798" w:rsidRDefault="00712195" w:rsidP="00FC2269">
      <w:pPr>
        <w:rPr>
          <w:rFonts w:ascii="Aptos" w:hAnsi="Aptos" w:cs="Arial"/>
          <w:color w:val="808080" w:themeColor="background1" w:themeShade="80"/>
          <w:sz w:val="20"/>
          <w:szCs w:val="20"/>
        </w:rPr>
      </w:pPr>
    </w:p>
    <w:p w14:paraId="48984DED" w14:textId="77777777" w:rsidR="00712195" w:rsidRPr="00373798" w:rsidRDefault="00712195" w:rsidP="00FC2269">
      <w:pPr>
        <w:rPr>
          <w:rFonts w:ascii="Aptos" w:hAnsi="Aptos" w:cs="Arial"/>
          <w:color w:val="808080" w:themeColor="background1" w:themeShade="80"/>
          <w:sz w:val="20"/>
          <w:szCs w:val="20"/>
        </w:rPr>
      </w:pPr>
    </w:p>
    <w:p w14:paraId="4424C904" w14:textId="621F1DB1" w:rsidR="00712195" w:rsidRPr="00373798" w:rsidRDefault="000E71D7" w:rsidP="00FC2269">
      <w:pPr>
        <w:rPr>
          <w:rFonts w:ascii="Aptos" w:hAnsi="Aptos" w:cs="Arial"/>
          <w:color w:val="808080" w:themeColor="background1" w:themeShade="80"/>
          <w:sz w:val="20"/>
          <w:szCs w:val="20"/>
        </w:rPr>
      </w:pPr>
      <w:r w:rsidRPr="00373798">
        <w:rPr>
          <w:rFonts w:ascii="Aptos" w:hAnsi="Aptos"/>
          <w:noProof/>
          <w:sz w:val="20"/>
          <w:szCs w:val="20"/>
          <w:lang w:val="ru-RU" w:eastAsia="ru-RU"/>
        </w:rPr>
        <w:drawing>
          <wp:inline distT="0" distB="0" distL="0" distR="0" wp14:anchorId="28832166" wp14:editId="5BA4F385">
            <wp:extent cx="5524500" cy="3211195"/>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24500" cy="3211195"/>
                    </a:xfrm>
                    <a:prstGeom prst="rect">
                      <a:avLst/>
                    </a:prstGeom>
                    <a:noFill/>
                    <a:ln>
                      <a:noFill/>
                    </a:ln>
                  </pic:spPr>
                </pic:pic>
              </a:graphicData>
            </a:graphic>
          </wp:inline>
        </w:drawing>
      </w:r>
    </w:p>
    <w:p w14:paraId="660762A4" w14:textId="3A62A4B8" w:rsidR="00712195" w:rsidRPr="00373798" w:rsidRDefault="00712195" w:rsidP="00E825D9">
      <w:pPr>
        <w:rPr>
          <w:rFonts w:ascii="Aptos" w:hAnsi="Aptos"/>
          <w:sz w:val="20"/>
          <w:szCs w:val="20"/>
        </w:rPr>
      </w:pPr>
      <w:r w:rsidRPr="00373798">
        <w:rPr>
          <w:rFonts w:ascii="Aptos" w:hAnsi="Aptos"/>
          <w:b/>
          <w:bCs/>
          <w:sz w:val="20"/>
          <w:szCs w:val="20"/>
        </w:rPr>
        <w:t xml:space="preserve">Figure </w:t>
      </w:r>
      <w:r w:rsidR="003C7F13" w:rsidRPr="00373798">
        <w:rPr>
          <w:rFonts w:ascii="Aptos" w:hAnsi="Aptos"/>
          <w:b/>
          <w:bCs/>
          <w:sz w:val="20"/>
          <w:szCs w:val="20"/>
        </w:rPr>
        <w:t>3.</w:t>
      </w:r>
      <w:r w:rsidRPr="00373798">
        <w:rPr>
          <w:rFonts w:ascii="Aptos" w:hAnsi="Aptos"/>
          <w:b/>
          <w:bCs/>
          <w:sz w:val="20"/>
          <w:szCs w:val="20"/>
        </w:rPr>
        <w:t xml:space="preserve"> Distribution of pairwise </w:t>
      </w:r>
      <w:proofErr w:type="spellStart"/>
      <w:r w:rsidRPr="00373798">
        <w:rPr>
          <w:rFonts w:ascii="Aptos" w:hAnsi="Aptos"/>
          <w:b/>
          <w:bCs/>
          <w:sz w:val="20"/>
          <w:szCs w:val="20"/>
        </w:rPr>
        <w:t>Nei</w:t>
      </w:r>
      <w:proofErr w:type="spellEnd"/>
      <w:r w:rsidRPr="00373798">
        <w:rPr>
          <w:rFonts w:ascii="Aptos" w:hAnsi="Aptos"/>
          <w:b/>
          <w:bCs/>
          <w:sz w:val="20"/>
          <w:szCs w:val="20"/>
        </w:rPr>
        <w:t>–</w:t>
      </w:r>
      <w:proofErr w:type="spellStart"/>
      <w:r w:rsidRPr="00373798">
        <w:rPr>
          <w:rFonts w:ascii="Aptos" w:hAnsi="Aptos"/>
          <w:b/>
          <w:bCs/>
          <w:sz w:val="20"/>
          <w:szCs w:val="20"/>
        </w:rPr>
        <w:t>Gojobori</w:t>
      </w:r>
      <w:proofErr w:type="spellEnd"/>
      <w:r w:rsidRPr="00373798">
        <w:rPr>
          <w:rFonts w:ascii="Aptos" w:hAnsi="Aptos"/>
          <w:b/>
          <w:bCs/>
          <w:sz w:val="20"/>
          <w:szCs w:val="20"/>
        </w:rPr>
        <w:t xml:space="preserve"> </w:t>
      </w:r>
      <w:proofErr w:type="spellStart"/>
      <w:r w:rsidRPr="00373798">
        <w:rPr>
          <w:rFonts w:ascii="Aptos" w:hAnsi="Aptos"/>
          <w:b/>
          <w:bCs/>
          <w:sz w:val="20"/>
          <w:szCs w:val="20"/>
        </w:rPr>
        <w:t>dN</w:t>
      </w:r>
      <w:proofErr w:type="spellEnd"/>
      <w:r w:rsidRPr="00373798">
        <w:rPr>
          <w:rFonts w:ascii="Aptos" w:hAnsi="Aptos"/>
          <w:b/>
          <w:bCs/>
          <w:sz w:val="20"/>
          <w:szCs w:val="20"/>
        </w:rPr>
        <w:t>/</w:t>
      </w:r>
      <w:proofErr w:type="spellStart"/>
      <w:r w:rsidRPr="00373798">
        <w:rPr>
          <w:rFonts w:ascii="Aptos" w:hAnsi="Aptos"/>
          <w:b/>
          <w:bCs/>
          <w:sz w:val="20"/>
          <w:szCs w:val="20"/>
        </w:rPr>
        <w:t>dS</w:t>
      </w:r>
      <w:proofErr w:type="spellEnd"/>
      <w:r w:rsidRPr="00373798">
        <w:rPr>
          <w:rFonts w:ascii="Aptos" w:hAnsi="Aptos"/>
          <w:b/>
          <w:bCs/>
          <w:sz w:val="20"/>
          <w:szCs w:val="20"/>
        </w:rPr>
        <w:t xml:space="preserve"> ratios among orthoflaviviruses.</w:t>
      </w:r>
      <w:r w:rsidR="003C7F13" w:rsidRPr="00373798">
        <w:rPr>
          <w:rFonts w:ascii="Aptos" w:hAnsi="Aptos"/>
          <w:b/>
          <w:bCs/>
          <w:sz w:val="20"/>
          <w:szCs w:val="20"/>
        </w:rPr>
        <w:t xml:space="preserve"> </w:t>
      </w:r>
      <w:r w:rsidRPr="00373798">
        <w:rPr>
          <w:rFonts w:ascii="Aptos" w:hAnsi="Aptos"/>
          <w:sz w:val="20"/>
          <w:szCs w:val="20"/>
        </w:rPr>
        <w:t xml:space="preserve">Pairwise </w:t>
      </w:r>
      <w:proofErr w:type="spellStart"/>
      <w:r w:rsidRPr="00373798">
        <w:rPr>
          <w:rFonts w:ascii="Aptos" w:hAnsi="Aptos"/>
          <w:sz w:val="20"/>
          <w:szCs w:val="20"/>
        </w:rPr>
        <w:t>dN</w:t>
      </w:r>
      <w:proofErr w:type="spellEnd"/>
      <w:r w:rsidRPr="00373798">
        <w:rPr>
          <w:rFonts w:ascii="Aptos" w:hAnsi="Aptos"/>
          <w:sz w:val="20"/>
          <w:szCs w:val="20"/>
        </w:rPr>
        <w:t>/</w:t>
      </w:r>
      <w:proofErr w:type="spellStart"/>
      <w:r w:rsidRPr="00373798">
        <w:rPr>
          <w:rFonts w:ascii="Aptos" w:hAnsi="Aptos"/>
          <w:sz w:val="20"/>
          <w:szCs w:val="20"/>
        </w:rPr>
        <w:t>dS</w:t>
      </w:r>
      <w:proofErr w:type="spellEnd"/>
      <w:r w:rsidRPr="00373798">
        <w:rPr>
          <w:rFonts w:ascii="Aptos" w:hAnsi="Aptos"/>
          <w:sz w:val="20"/>
          <w:szCs w:val="20"/>
        </w:rPr>
        <w:t xml:space="preserve"> ratios were calculated for complete polyprotein sequences using the </w:t>
      </w:r>
      <w:proofErr w:type="spellStart"/>
      <w:r w:rsidRPr="00373798">
        <w:rPr>
          <w:rFonts w:ascii="Aptos" w:hAnsi="Aptos"/>
          <w:sz w:val="20"/>
          <w:szCs w:val="20"/>
        </w:rPr>
        <w:t>Nei</w:t>
      </w:r>
      <w:proofErr w:type="spellEnd"/>
      <w:r w:rsidRPr="00373798">
        <w:rPr>
          <w:rFonts w:ascii="Aptos" w:hAnsi="Aptos"/>
          <w:sz w:val="20"/>
          <w:szCs w:val="20"/>
        </w:rPr>
        <w:t>–</w:t>
      </w:r>
      <w:proofErr w:type="spellStart"/>
      <w:r w:rsidRPr="00373798">
        <w:rPr>
          <w:rFonts w:ascii="Aptos" w:hAnsi="Aptos"/>
          <w:sz w:val="20"/>
          <w:szCs w:val="20"/>
        </w:rPr>
        <w:t>Gojobori</w:t>
      </w:r>
      <w:proofErr w:type="spellEnd"/>
      <w:r w:rsidRPr="00373798">
        <w:rPr>
          <w:rFonts w:ascii="Aptos" w:hAnsi="Aptos"/>
          <w:sz w:val="20"/>
          <w:szCs w:val="20"/>
        </w:rPr>
        <w:t xml:space="preserve"> method. </w:t>
      </w:r>
      <w:r w:rsidR="000F1C29" w:rsidRPr="00373798">
        <w:rPr>
          <w:rFonts w:ascii="Aptos" w:hAnsi="Aptos"/>
          <w:sz w:val="20"/>
          <w:szCs w:val="20"/>
        </w:rPr>
        <w:t xml:space="preserve">The distribution </w:t>
      </w:r>
      <w:r w:rsidR="000F1C29" w:rsidRPr="00373798">
        <w:rPr>
          <w:rFonts w:ascii="Aptos" w:hAnsi="Aptos"/>
          <w:sz w:val="20"/>
          <w:szCs w:val="20"/>
        </w:rPr>
        <w:lastRenderedPageBreak/>
        <w:t xml:space="preserve">of pairwise comparisons within the same species (intraspecific comparisons, blue) and between different species (interspecific comparisons, red) is shown. </w:t>
      </w:r>
      <w:r w:rsidRPr="00373798">
        <w:rPr>
          <w:rFonts w:ascii="Aptos" w:hAnsi="Aptos"/>
          <w:sz w:val="20"/>
          <w:szCs w:val="20"/>
        </w:rPr>
        <w:t xml:space="preserve">Dashed lines indicate the approximate transition range between the two distributions. </w:t>
      </w:r>
      <w:r w:rsidR="00DC1330" w:rsidRPr="00373798">
        <w:rPr>
          <w:rFonts w:ascii="Aptos" w:hAnsi="Aptos"/>
          <w:sz w:val="20"/>
          <w:szCs w:val="20"/>
        </w:rPr>
        <w:t xml:space="preserve">All within-species comparisons show </w:t>
      </w:r>
      <w:proofErr w:type="spellStart"/>
      <w:r w:rsidR="00DC1330" w:rsidRPr="00373798">
        <w:rPr>
          <w:rFonts w:ascii="Aptos" w:hAnsi="Aptos"/>
          <w:sz w:val="20"/>
          <w:szCs w:val="20"/>
        </w:rPr>
        <w:t>dN</w:t>
      </w:r>
      <w:proofErr w:type="spellEnd"/>
      <w:r w:rsidR="00DC1330" w:rsidRPr="00373798">
        <w:rPr>
          <w:rFonts w:ascii="Aptos" w:hAnsi="Aptos"/>
          <w:sz w:val="20"/>
          <w:szCs w:val="20"/>
        </w:rPr>
        <w:t>/</w:t>
      </w:r>
      <w:proofErr w:type="spellStart"/>
      <w:r w:rsidR="00DC1330" w:rsidRPr="00373798">
        <w:rPr>
          <w:rFonts w:ascii="Aptos" w:hAnsi="Aptos"/>
          <w:sz w:val="20"/>
          <w:szCs w:val="20"/>
        </w:rPr>
        <w:t>dS</w:t>
      </w:r>
      <w:proofErr w:type="spellEnd"/>
      <w:r w:rsidR="00DC1330" w:rsidRPr="00373798">
        <w:rPr>
          <w:rFonts w:ascii="Aptos" w:hAnsi="Aptos"/>
          <w:sz w:val="20"/>
          <w:szCs w:val="20"/>
        </w:rPr>
        <w:t xml:space="preserve"> values below 0.104, whereas all between-species comparisons show values above 0.128, indicating a discrete shift in selective constraints</w:t>
      </w:r>
      <w:r w:rsidRPr="00373798">
        <w:rPr>
          <w:rFonts w:ascii="Aptos" w:hAnsi="Aptos"/>
          <w:sz w:val="20"/>
          <w:szCs w:val="20"/>
        </w:rPr>
        <w:t>.</w:t>
      </w:r>
      <w:r w:rsidR="000F1C29" w:rsidRPr="00373798">
        <w:rPr>
          <w:rFonts w:ascii="Aptos" w:hAnsi="Aptos"/>
          <w:sz w:val="20"/>
          <w:szCs w:val="20"/>
        </w:rPr>
        <w:t xml:space="preserve"> The code used to generate Figures </w:t>
      </w:r>
      <w:r w:rsidR="00E825D9" w:rsidRPr="00373798">
        <w:rPr>
          <w:rFonts w:ascii="Aptos" w:hAnsi="Aptos"/>
          <w:sz w:val="20"/>
          <w:szCs w:val="20"/>
        </w:rPr>
        <w:t>2</w:t>
      </w:r>
      <w:r w:rsidR="000F1C29" w:rsidRPr="00373798">
        <w:rPr>
          <w:rFonts w:ascii="Aptos" w:hAnsi="Aptos"/>
          <w:sz w:val="20"/>
          <w:szCs w:val="20"/>
        </w:rPr>
        <w:t xml:space="preserve"> and </w:t>
      </w:r>
      <w:r w:rsidR="00E825D9" w:rsidRPr="00373798">
        <w:rPr>
          <w:rFonts w:ascii="Aptos" w:hAnsi="Aptos"/>
          <w:sz w:val="20"/>
          <w:szCs w:val="20"/>
        </w:rPr>
        <w:t xml:space="preserve">3 </w:t>
      </w:r>
      <w:r w:rsidR="000F1C29" w:rsidRPr="00373798">
        <w:rPr>
          <w:rFonts w:ascii="Aptos" w:hAnsi="Aptos"/>
          <w:sz w:val="20"/>
          <w:szCs w:val="20"/>
        </w:rPr>
        <w:t xml:space="preserve">is available at: </w:t>
      </w:r>
      <w:hyperlink r:id="rId15" w:history="1">
        <w:r w:rsidR="00E67A71" w:rsidRPr="00373798">
          <w:rPr>
            <w:rStyle w:val="Hyperlink"/>
            <w:rFonts w:ascii="Aptos" w:hAnsi="Aptos"/>
            <w:sz w:val="20"/>
            <w:szCs w:val="20"/>
          </w:rPr>
          <w:t>https://github.com/AndreiDeviatkin/repo/blob/main/Orthoflavivirus_eurasiaticus_proposal/Figure2+Figure3_generation.R</w:t>
        </w:r>
      </w:hyperlink>
      <w:r w:rsidR="00E67A71" w:rsidRPr="00373798">
        <w:rPr>
          <w:rFonts w:ascii="Aptos" w:hAnsi="Aptos"/>
          <w:sz w:val="20"/>
          <w:szCs w:val="20"/>
        </w:rPr>
        <w:t>.</w:t>
      </w:r>
      <w:r w:rsidR="00E825D9" w:rsidRPr="00373798">
        <w:rPr>
          <w:rFonts w:ascii="Aptos" w:hAnsi="Aptos"/>
          <w:sz w:val="20"/>
          <w:szCs w:val="20"/>
        </w:rPr>
        <w:t xml:space="preserve"> </w:t>
      </w:r>
      <w:r w:rsidR="000F1C29" w:rsidRPr="00373798">
        <w:rPr>
          <w:rFonts w:ascii="Aptos" w:hAnsi="Aptos"/>
          <w:sz w:val="20"/>
          <w:szCs w:val="20"/>
        </w:rPr>
        <w:t xml:space="preserve">The pairwise </w:t>
      </w:r>
      <w:proofErr w:type="spellStart"/>
      <w:r w:rsidR="000F1C29" w:rsidRPr="00373798">
        <w:rPr>
          <w:rFonts w:ascii="Aptos" w:hAnsi="Aptos"/>
          <w:sz w:val="20"/>
          <w:szCs w:val="20"/>
        </w:rPr>
        <w:t>dN</w:t>
      </w:r>
      <w:proofErr w:type="spellEnd"/>
      <w:r w:rsidR="000F1C29" w:rsidRPr="00373798">
        <w:rPr>
          <w:rFonts w:ascii="Aptos" w:hAnsi="Aptos"/>
          <w:sz w:val="20"/>
          <w:szCs w:val="20"/>
        </w:rPr>
        <w:t>/</w:t>
      </w:r>
      <w:proofErr w:type="spellStart"/>
      <w:r w:rsidR="000F1C29" w:rsidRPr="00373798">
        <w:rPr>
          <w:rFonts w:ascii="Aptos" w:hAnsi="Aptos"/>
          <w:sz w:val="20"/>
          <w:szCs w:val="20"/>
        </w:rPr>
        <w:t>dS</w:t>
      </w:r>
      <w:proofErr w:type="spellEnd"/>
      <w:r w:rsidR="000F1C29" w:rsidRPr="00373798">
        <w:rPr>
          <w:rFonts w:ascii="Aptos" w:hAnsi="Aptos"/>
          <w:sz w:val="20"/>
          <w:szCs w:val="20"/>
        </w:rPr>
        <w:t xml:space="preserve"> ratio table used for Figure 2 generation is available at: </w:t>
      </w:r>
      <w:hyperlink r:id="rId16" w:tgtFrame="_new" w:history="1">
        <w:r w:rsidR="000F1C29" w:rsidRPr="00373798">
          <w:rPr>
            <w:rStyle w:val="Hyperlink"/>
            <w:rFonts w:ascii="Aptos" w:hAnsi="Aptos"/>
            <w:sz w:val="20"/>
            <w:szCs w:val="20"/>
          </w:rPr>
          <w:t>https://github.com/AndreiDeviatkin/repo/blob/main/Selection_pressure_profile_suggests_species_criteria_among_tick-borne_flaviviruses/data/pairwise_dnds_tables/tick_nt_0.98_al_ORF_codon.fas_dnds.txt</w:t>
        </w:r>
      </w:hyperlink>
      <w:r w:rsidR="000F1C29" w:rsidRPr="00373798">
        <w:rPr>
          <w:rFonts w:ascii="Aptos" w:hAnsi="Aptos"/>
          <w:sz w:val="20"/>
          <w:szCs w:val="20"/>
        </w:rPr>
        <w:t>.</w:t>
      </w:r>
    </w:p>
    <w:p w14:paraId="3B5CA9C9" w14:textId="79ABFC16" w:rsidR="000E71D7" w:rsidRPr="00373798" w:rsidRDefault="000E71D7">
      <w:pPr>
        <w:rPr>
          <w:rFonts w:ascii="Aptos" w:hAnsi="Aptos" w:cs="Arial"/>
          <w:color w:val="808080" w:themeColor="background1" w:themeShade="80"/>
          <w:sz w:val="20"/>
          <w:szCs w:val="20"/>
        </w:rPr>
      </w:pPr>
      <w:r w:rsidRPr="00373798">
        <w:rPr>
          <w:rFonts w:ascii="Aptos" w:hAnsi="Aptos" w:cs="Arial"/>
          <w:color w:val="808080" w:themeColor="background1" w:themeShade="80"/>
          <w:sz w:val="20"/>
          <w:szCs w:val="20"/>
        </w:rPr>
        <w:br w:type="page"/>
      </w:r>
    </w:p>
    <w:sectPr w:rsidR="000E71D7" w:rsidRPr="00373798" w:rsidSect="00A82FBB">
      <w:headerReference w:type="default" r:id="rId17"/>
      <w:footerReference w:type="default" r:id="rId18"/>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69F59" w14:textId="77777777" w:rsidR="00C55F8E" w:rsidRDefault="00C55F8E">
      <w:r>
        <w:separator/>
      </w:r>
    </w:p>
  </w:endnote>
  <w:endnote w:type="continuationSeparator" w:id="0">
    <w:p w14:paraId="67C4CDBC" w14:textId="77777777" w:rsidR="00C55F8E" w:rsidRDefault="00C55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783ED6" w:rsidRPr="00AD5A3A" w:rsidRDefault="00783ED6">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00533A6A" w:rsidRPr="00533A6A">
          <w:rPr>
            <w:rFonts w:ascii="Aptos" w:hAnsi="Aptos"/>
            <w:b/>
            <w:bCs/>
            <w:noProof/>
            <w:sz w:val="16"/>
            <w:szCs w:val="16"/>
          </w:rPr>
          <w:t>14</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783ED6" w:rsidRDefault="00783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E686D" w14:textId="77777777" w:rsidR="00C55F8E" w:rsidRDefault="00C55F8E">
      <w:r>
        <w:separator/>
      </w:r>
    </w:p>
  </w:footnote>
  <w:footnote w:type="continuationSeparator" w:id="0">
    <w:p w14:paraId="50B2207B" w14:textId="77777777" w:rsidR="00C55F8E" w:rsidRDefault="00C55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783ED6" w:rsidRPr="00F110F7" w:rsidRDefault="00783ED6" w:rsidP="00AD5A3A">
    <w:pPr>
      <w:pStyle w:val="Header"/>
      <w:jc w:val="right"/>
      <w:rPr>
        <w:i/>
        <w:sz w:val="18"/>
        <w:szCs w:val="18"/>
      </w:rPr>
    </w:pPr>
    <w:r w:rsidRPr="00C95FB7">
      <w:rPr>
        <w:rFonts w:ascii="Aptos" w:hAnsi="Aptos"/>
        <w:noProof/>
        <w:lang w:val="ru-RU" w:eastAsia="ru-RU"/>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6</w:t>
    </w:r>
    <w:r w:rsidRPr="00F110F7">
      <w:rPr>
        <w:rFonts w:ascii="Aptos" w:hAnsi="Aptos"/>
        <w:i/>
        <w:sz w:val="18"/>
        <w:szCs w:val="18"/>
      </w:rPr>
      <w:t xml:space="preserve"> v.</w:t>
    </w:r>
    <w:r>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4CC"/>
    <w:rsid w:val="00017BF9"/>
    <w:rsid w:val="00023385"/>
    <w:rsid w:val="00025423"/>
    <w:rsid w:val="00035A87"/>
    <w:rsid w:val="0003788E"/>
    <w:rsid w:val="000406E1"/>
    <w:rsid w:val="00040CB0"/>
    <w:rsid w:val="0004176B"/>
    <w:rsid w:val="00042763"/>
    <w:rsid w:val="000449DB"/>
    <w:rsid w:val="00054AB9"/>
    <w:rsid w:val="000600E4"/>
    <w:rsid w:val="00066EA5"/>
    <w:rsid w:val="00074589"/>
    <w:rsid w:val="0008012E"/>
    <w:rsid w:val="000830C5"/>
    <w:rsid w:val="00096092"/>
    <w:rsid w:val="000A146A"/>
    <w:rsid w:val="000A7027"/>
    <w:rsid w:val="000B1BF3"/>
    <w:rsid w:val="000B5D78"/>
    <w:rsid w:val="000B6878"/>
    <w:rsid w:val="000D182E"/>
    <w:rsid w:val="000D5660"/>
    <w:rsid w:val="000E54FF"/>
    <w:rsid w:val="000E71D7"/>
    <w:rsid w:val="000F1C29"/>
    <w:rsid w:val="000F51F4"/>
    <w:rsid w:val="000F5339"/>
    <w:rsid w:val="000F7067"/>
    <w:rsid w:val="00106232"/>
    <w:rsid w:val="0011008F"/>
    <w:rsid w:val="001155F8"/>
    <w:rsid w:val="00117C72"/>
    <w:rsid w:val="00124B4C"/>
    <w:rsid w:val="0013113D"/>
    <w:rsid w:val="001322FC"/>
    <w:rsid w:val="001525C4"/>
    <w:rsid w:val="00171083"/>
    <w:rsid w:val="00172351"/>
    <w:rsid w:val="001728BA"/>
    <w:rsid w:val="00172C01"/>
    <w:rsid w:val="0017472E"/>
    <w:rsid w:val="00183203"/>
    <w:rsid w:val="001C7F7B"/>
    <w:rsid w:val="001D0007"/>
    <w:rsid w:val="001D3E3E"/>
    <w:rsid w:val="001D4FFE"/>
    <w:rsid w:val="001E298D"/>
    <w:rsid w:val="0020013A"/>
    <w:rsid w:val="0021238E"/>
    <w:rsid w:val="00220A26"/>
    <w:rsid w:val="0022505D"/>
    <w:rsid w:val="002312CE"/>
    <w:rsid w:val="0023149A"/>
    <w:rsid w:val="00234039"/>
    <w:rsid w:val="00234D98"/>
    <w:rsid w:val="0023696B"/>
    <w:rsid w:val="0024086E"/>
    <w:rsid w:val="00241EA1"/>
    <w:rsid w:val="00252383"/>
    <w:rsid w:val="0025498B"/>
    <w:rsid w:val="00255D36"/>
    <w:rsid w:val="00266B21"/>
    <w:rsid w:val="00273642"/>
    <w:rsid w:val="002753E7"/>
    <w:rsid w:val="002942D3"/>
    <w:rsid w:val="002944AF"/>
    <w:rsid w:val="00296DA3"/>
    <w:rsid w:val="002A5A83"/>
    <w:rsid w:val="002B49DA"/>
    <w:rsid w:val="002D4340"/>
    <w:rsid w:val="002F4F7F"/>
    <w:rsid w:val="0030338B"/>
    <w:rsid w:val="00316B7B"/>
    <w:rsid w:val="003215E0"/>
    <w:rsid w:val="003242F6"/>
    <w:rsid w:val="00327E73"/>
    <w:rsid w:val="00333392"/>
    <w:rsid w:val="00342DAF"/>
    <w:rsid w:val="00355CE0"/>
    <w:rsid w:val="00363A30"/>
    <w:rsid w:val="003713C4"/>
    <w:rsid w:val="0037243A"/>
    <w:rsid w:val="00372FD1"/>
    <w:rsid w:val="00373798"/>
    <w:rsid w:val="00382FE8"/>
    <w:rsid w:val="00383BBF"/>
    <w:rsid w:val="003856E4"/>
    <w:rsid w:val="0038593F"/>
    <w:rsid w:val="00387B1A"/>
    <w:rsid w:val="003A166F"/>
    <w:rsid w:val="003A18C5"/>
    <w:rsid w:val="003A4F00"/>
    <w:rsid w:val="003A5ED7"/>
    <w:rsid w:val="003B0883"/>
    <w:rsid w:val="003B3832"/>
    <w:rsid w:val="003C5428"/>
    <w:rsid w:val="003C7F13"/>
    <w:rsid w:val="003D0999"/>
    <w:rsid w:val="003E0AEA"/>
    <w:rsid w:val="003F2A97"/>
    <w:rsid w:val="003F7048"/>
    <w:rsid w:val="00402F9F"/>
    <w:rsid w:val="004051D6"/>
    <w:rsid w:val="00411930"/>
    <w:rsid w:val="00422D22"/>
    <w:rsid w:val="0043110C"/>
    <w:rsid w:val="00437970"/>
    <w:rsid w:val="00437F07"/>
    <w:rsid w:val="00455A6B"/>
    <w:rsid w:val="00460149"/>
    <w:rsid w:val="00463B78"/>
    <w:rsid w:val="00471256"/>
    <w:rsid w:val="004B5AEB"/>
    <w:rsid w:val="004B6BB8"/>
    <w:rsid w:val="004F2F1E"/>
    <w:rsid w:val="004F3196"/>
    <w:rsid w:val="004F6110"/>
    <w:rsid w:val="00503678"/>
    <w:rsid w:val="00514973"/>
    <w:rsid w:val="00532AB1"/>
    <w:rsid w:val="00533A6A"/>
    <w:rsid w:val="00536426"/>
    <w:rsid w:val="005415FA"/>
    <w:rsid w:val="00541A4D"/>
    <w:rsid w:val="00543F86"/>
    <w:rsid w:val="0055461D"/>
    <w:rsid w:val="005639BC"/>
    <w:rsid w:val="00564475"/>
    <w:rsid w:val="005733B4"/>
    <w:rsid w:val="0058465A"/>
    <w:rsid w:val="00590DF3"/>
    <w:rsid w:val="00595DFA"/>
    <w:rsid w:val="005961F4"/>
    <w:rsid w:val="005A15BD"/>
    <w:rsid w:val="005A54C3"/>
    <w:rsid w:val="005B09CE"/>
    <w:rsid w:val="005B392F"/>
    <w:rsid w:val="005B3F62"/>
    <w:rsid w:val="005B4C7D"/>
    <w:rsid w:val="005D5D0E"/>
    <w:rsid w:val="00600456"/>
    <w:rsid w:val="006021DB"/>
    <w:rsid w:val="006043FB"/>
    <w:rsid w:val="00607227"/>
    <w:rsid w:val="006109F7"/>
    <w:rsid w:val="0063355B"/>
    <w:rsid w:val="00644BFC"/>
    <w:rsid w:val="00647814"/>
    <w:rsid w:val="00671295"/>
    <w:rsid w:val="00672A99"/>
    <w:rsid w:val="00672B64"/>
    <w:rsid w:val="0067795B"/>
    <w:rsid w:val="00682825"/>
    <w:rsid w:val="00683D0C"/>
    <w:rsid w:val="00684FC4"/>
    <w:rsid w:val="0069192D"/>
    <w:rsid w:val="006A002F"/>
    <w:rsid w:val="006B75CE"/>
    <w:rsid w:val="006B7AB8"/>
    <w:rsid w:val="006C0F51"/>
    <w:rsid w:val="006D18F6"/>
    <w:rsid w:val="006D428E"/>
    <w:rsid w:val="006F33B7"/>
    <w:rsid w:val="00700316"/>
    <w:rsid w:val="00712195"/>
    <w:rsid w:val="00723577"/>
    <w:rsid w:val="0072682D"/>
    <w:rsid w:val="00734938"/>
    <w:rsid w:val="00734C28"/>
    <w:rsid w:val="00736436"/>
    <w:rsid w:val="00736440"/>
    <w:rsid w:val="00737875"/>
    <w:rsid w:val="00740A3F"/>
    <w:rsid w:val="00741880"/>
    <w:rsid w:val="00743BA1"/>
    <w:rsid w:val="0076058E"/>
    <w:rsid w:val="00783ED6"/>
    <w:rsid w:val="007A508F"/>
    <w:rsid w:val="007B0F70"/>
    <w:rsid w:val="007B28BF"/>
    <w:rsid w:val="007B6511"/>
    <w:rsid w:val="007D554B"/>
    <w:rsid w:val="007E0EF5"/>
    <w:rsid w:val="007E1813"/>
    <w:rsid w:val="007E3FAE"/>
    <w:rsid w:val="007E667B"/>
    <w:rsid w:val="008012DD"/>
    <w:rsid w:val="00801FE6"/>
    <w:rsid w:val="008061C0"/>
    <w:rsid w:val="00822B3A"/>
    <w:rsid w:val="00824208"/>
    <w:rsid w:val="008308A0"/>
    <w:rsid w:val="008375C2"/>
    <w:rsid w:val="00852D43"/>
    <w:rsid w:val="00854E5B"/>
    <w:rsid w:val="0086023F"/>
    <w:rsid w:val="00862ADA"/>
    <w:rsid w:val="00865726"/>
    <w:rsid w:val="00875F68"/>
    <w:rsid w:val="00880645"/>
    <w:rsid w:val="008815EE"/>
    <w:rsid w:val="00883A5C"/>
    <w:rsid w:val="008A1115"/>
    <w:rsid w:val="008A22E9"/>
    <w:rsid w:val="008B174A"/>
    <w:rsid w:val="008B43B1"/>
    <w:rsid w:val="008C1AC1"/>
    <w:rsid w:val="008C5EFE"/>
    <w:rsid w:val="008D6D09"/>
    <w:rsid w:val="008F51E2"/>
    <w:rsid w:val="00901EBC"/>
    <w:rsid w:val="00903048"/>
    <w:rsid w:val="009078FF"/>
    <w:rsid w:val="00912F61"/>
    <w:rsid w:val="00923D4C"/>
    <w:rsid w:val="00925873"/>
    <w:rsid w:val="00926121"/>
    <w:rsid w:val="00941085"/>
    <w:rsid w:val="009457C8"/>
    <w:rsid w:val="00953FFE"/>
    <w:rsid w:val="00964F7C"/>
    <w:rsid w:val="009703AF"/>
    <w:rsid w:val="009740AA"/>
    <w:rsid w:val="00974174"/>
    <w:rsid w:val="009741D1"/>
    <w:rsid w:val="00974C28"/>
    <w:rsid w:val="00976E37"/>
    <w:rsid w:val="009A369C"/>
    <w:rsid w:val="009A3B4A"/>
    <w:rsid w:val="009B2D2F"/>
    <w:rsid w:val="009E1167"/>
    <w:rsid w:val="009F7221"/>
    <w:rsid w:val="009F7856"/>
    <w:rsid w:val="00A10BA1"/>
    <w:rsid w:val="00A13A0C"/>
    <w:rsid w:val="00A15D4A"/>
    <w:rsid w:val="00A174CC"/>
    <w:rsid w:val="00A17B88"/>
    <w:rsid w:val="00A22B5A"/>
    <w:rsid w:val="00A2357C"/>
    <w:rsid w:val="00A443CA"/>
    <w:rsid w:val="00A54528"/>
    <w:rsid w:val="00A56CE6"/>
    <w:rsid w:val="00A61DD8"/>
    <w:rsid w:val="00A629FD"/>
    <w:rsid w:val="00A71C40"/>
    <w:rsid w:val="00A76F53"/>
    <w:rsid w:val="00A77B8E"/>
    <w:rsid w:val="00A82FBB"/>
    <w:rsid w:val="00AA4711"/>
    <w:rsid w:val="00AC0708"/>
    <w:rsid w:val="00AD201A"/>
    <w:rsid w:val="00AD2884"/>
    <w:rsid w:val="00AD3D50"/>
    <w:rsid w:val="00AD5A3A"/>
    <w:rsid w:val="00AD759B"/>
    <w:rsid w:val="00AE2E79"/>
    <w:rsid w:val="00AE4C95"/>
    <w:rsid w:val="00AE528C"/>
    <w:rsid w:val="00AF4998"/>
    <w:rsid w:val="00B00D88"/>
    <w:rsid w:val="00B03B7F"/>
    <w:rsid w:val="00B1187F"/>
    <w:rsid w:val="00B35CC8"/>
    <w:rsid w:val="00B47589"/>
    <w:rsid w:val="00B47E3F"/>
    <w:rsid w:val="00B71228"/>
    <w:rsid w:val="00BA3B24"/>
    <w:rsid w:val="00BA5834"/>
    <w:rsid w:val="00BC1FDE"/>
    <w:rsid w:val="00BD3A2E"/>
    <w:rsid w:val="00BD6C0B"/>
    <w:rsid w:val="00BD7967"/>
    <w:rsid w:val="00BE4F5A"/>
    <w:rsid w:val="00BE761E"/>
    <w:rsid w:val="00BF416F"/>
    <w:rsid w:val="00C11BF2"/>
    <w:rsid w:val="00C16A78"/>
    <w:rsid w:val="00C20F4D"/>
    <w:rsid w:val="00C321B1"/>
    <w:rsid w:val="00C55633"/>
    <w:rsid w:val="00C55F8E"/>
    <w:rsid w:val="00C634F8"/>
    <w:rsid w:val="00C73FFE"/>
    <w:rsid w:val="00C76B51"/>
    <w:rsid w:val="00C8456C"/>
    <w:rsid w:val="00C8775F"/>
    <w:rsid w:val="00C95FB7"/>
    <w:rsid w:val="00CD2C82"/>
    <w:rsid w:val="00CF59EA"/>
    <w:rsid w:val="00D04287"/>
    <w:rsid w:val="00D062BE"/>
    <w:rsid w:val="00D10857"/>
    <w:rsid w:val="00D13AD5"/>
    <w:rsid w:val="00D23567"/>
    <w:rsid w:val="00D31209"/>
    <w:rsid w:val="00D46663"/>
    <w:rsid w:val="00D51F24"/>
    <w:rsid w:val="00D72B92"/>
    <w:rsid w:val="00D77E1C"/>
    <w:rsid w:val="00D919FA"/>
    <w:rsid w:val="00DC1330"/>
    <w:rsid w:val="00DD489D"/>
    <w:rsid w:val="00DD58AA"/>
    <w:rsid w:val="00DE01F5"/>
    <w:rsid w:val="00E034BE"/>
    <w:rsid w:val="00E229A9"/>
    <w:rsid w:val="00E229F9"/>
    <w:rsid w:val="00E32E81"/>
    <w:rsid w:val="00E37077"/>
    <w:rsid w:val="00E50727"/>
    <w:rsid w:val="00E665BA"/>
    <w:rsid w:val="00E67A71"/>
    <w:rsid w:val="00E825D9"/>
    <w:rsid w:val="00E863D4"/>
    <w:rsid w:val="00E92794"/>
    <w:rsid w:val="00E969AE"/>
    <w:rsid w:val="00EA4DCC"/>
    <w:rsid w:val="00EC5688"/>
    <w:rsid w:val="00EC76C2"/>
    <w:rsid w:val="00ED4569"/>
    <w:rsid w:val="00ED52B2"/>
    <w:rsid w:val="00EE484F"/>
    <w:rsid w:val="00EF2448"/>
    <w:rsid w:val="00F0082D"/>
    <w:rsid w:val="00F110F7"/>
    <w:rsid w:val="00F20D64"/>
    <w:rsid w:val="00F3300F"/>
    <w:rsid w:val="00F624F1"/>
    <w:rsid w:val="00F62692"/>
    <w:rsid w:val="00F65354"/>
    <w:rsid w:val="00F711CE"/>
    <w:rsid w:val="00F74510"/>
    <w:rsid w:val="00F9028E"/>
    <w:rsid w:val="00F911F1"/>
    <w:rsid w:val="00F943F9"/>
    <w:rsid w:val="00FA1DC3"/>
    <w:rsid w:val="00FB300C"/>
    <w:rsid w:val="00FC2269"/>
    <w:rsid w:val="00FD1CC2"/>
    <w:rsid w:val="00FD6325"/>
    <w:rsid w:val="00FE4AC7"/>
    <w:rsid w:val="00FE69E8"/>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578D2"/>
  <w15:docId w15:val="{FD9D08CE-CFBC-433F-8DF3-21295067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customStyle="1" w:styleId="UnresolvedMention1">
    <w:name w:val="Unresolved Mention1"/>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pdq2pgselectionanchorcontainer">
    <w:name w:val="pdq2pg_selectionanchorcontainer"/>
    <w:basedOn w:val="Normal"/>
    <w:rsid w:val="000F1C29"/>
    <w:pPr>
      <w:spacing w:before="100" w:beforeAutospacing="1" w:after="100" w:afterAutospacing="1"/>
    </w:pPr>
    <w:rPr>
      <w:lang w:val="ru-RU" w:eastAsia="ru-RU"/>
    </w:rPr>
  </w:style>
  <w:style w:type="paragraph" w:styleId="NormalWeb">
    <w:name w:val="Normal (Web)"/>
    <w:basedOn w:val="Normal"/>
    <w:uiPriority w:val="99"/>
    <w:unhideWhenUsed/>
    <w:rsid w:val="000F1C29"/>
    <w:pPr>
      <w:spacing w:before="100" w:beforeAutospacing="1" w:after="100" w:afterAutospacing="1"/>
    </w:pPr>
    <w:rPr>
      <w:lang w:val="ru-RU" w:eastAsia="ru-RU"/>
    </w:rPr>
  </w:style>
  <w:style w:type="character" w:styleId="Strong">
    <w:name w:val="Strong"/>
    <w:basedOn w:val="DefaultParagraphFont"/>
    <w:uiPriority w:val="22"/>
    <w:qFormat/>
    <w:rsid w:val="000E71D7"/>
    <w:rPr>
      <w:b/>
      <w:bCs/>
    </w:rPr>
  </w:style>
  <w:style w:type="character" w:styleId="Emphasis">
    <w:name w:val="Emphasis"/>
    <w:basedOn w:val="DefaultParagraphFont"/>
    <w:uiPriority w:val="20"/>
    <w:qFormat/>
    <w:rsid w:val="009258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66154971">
      <w:bodyDiv w:val="1"/>
      <w:marLeft w:val="0"/>
      <w:marRight w:val="0"/>
      <w:marTop w:val="0"/>
      <w:marBottom w:val="0"/>
      <w:divBdr>
        <w:top w:val="none" w:sz="0" w:space="0" w:color="auto"/>
        <w:left w:val="none" w:sz="0" w:space="0" w:color="auto"/>
        <w:bottom w:val="none" w:sz="0" w:space="0" w:color="auto"/>
        <w:right w:val="none" w:sz="0" w:space="0" w:color="auto"/>
      </w:divBdr>
    </w:div>
    <w:div w:id="241452392">
      <w:bodyDiv w:val="1"/>
      <w:marLeft w:val="0"/>
      <w:marRight w:val="0"/>
      <w:marTop w:val="0"/>
      <w:marBottom w:val="0"/>
      <w:divBdr>
        <w:top w:val="none" w:sz="0" w:space="0" w:color="auto"/>
        <w:left w:val="none" w:sz="0" w:space="0" w:color="auto"/>
        <w:bottom w:val="none" w:sz="0" w:space="0" w:color="auto"/>
        <w:right w:val="none" w:sz="0" w:space="0" w:color="auto"/>
      </w:divBdr>
    </w:div>
    <w:div w:id="410010393">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673604465">
      <w:bodyDiv w:val="1"/>
      <w:marLeft w:val="0"/>
      <w:marRight w:val="0"/>
      <w:marTop w:val="0"/>
      <w:marBottom w:val="0"/>
      <w:divBdr>
        <w:top w:val="none" w:sz="0" w:space="0" w:color="auto"/>
        <w:left w:val="none" w:sz="0" w:space="0" w:color="auto"/>
        <w:bottom w:val="none" w:sz="0" w:space="0" w:color="auto"/>
        <w:right w:val="none" w:sz="0" w:space="0" w:color="auto"/>
      </w:divBdr>
    </w:div>
    <w:div w:id="730348251">
      <w:bodyDiv w:val="1"/>
      <w:marLeft w:val="0"/>
      <w:marRight w:val="0"/>
      <w:marTop w:val="0"/>
      <w:marBottom w:val="0"/>
      <w:divBdr>
        <w:top w:val="none" w:sz="0" w:space="0" w:color="auto"/>
        <w:left w:val="none" w:sz="0" w:space="0" w:color="auto"/>
        <w:bottom w:val="none" w:sz="0" w:space="0" w:color="auto"/>
        <w:right w:val="none" w:sz="0" w:space="0" w:color="auto"/>
      </w:divBdr>
    </w:div>
    <w:div w:id="859009098">
      <w:bodyDiv w:val="1"/>
      <w:marLeft w:val="0"/>
      <w:marRight w:val="0"/>
      <w:marTop w:val="0"/>
      <w:marBottom w:val="0"/>
      <w:divBdr>
        <w:top w:val="none" w:sz="0" w:space="0" w:color="auto"/>
        <w:left w:val="none" w:sz="0" w:space="0" w:color="auto"/>
        <w:bottom w:val="none" w:sz="0" w:space="0" w:color="auto"/>
        <w:right w:val="none" w:sz="0" w:space="0" w:color="auto"/>
      </w:divBdr>
    </w:div>
    <w:div w:id="959723076">
      <w:bodyDiv w:val="1"/>
      <w:marLeft w:val="0"/>
      <w:marRight w:val="0"/>
      <w:marTop w:val="0"/>
      <w:marBottom w:val="0"/>
      <w:divBdr>
        <w:top w:val="none" w:sz="0" w:space="0" w:color="auto"/>
        <w:left w:val="none" w:sz="0" w:space="0" w:color="auto"/>
        <w:bottom w:val="none" w:sz="0" w:space="0" w:color="auto"/>
        <w:right w:val="none" w:sz="0" w:space="0" w:color="auto"/>
      </w:divBdr>
    </w:div>
    <w:div w:id="1268469507">
      <w:bodyDiv w:val="1"/>
      <w:marLeft w:val="0"/>
      <w:marRight w:val="0"/>
      <w:marTop w:val="0"/>
      <w:marBottom w:val="0"/>
      <w:divBdr>
        <w:top w:val="none" w:sz="0" w:space="0" w:color="auto"/>
        <w:left w:val="none" w:sz="0" w:space="0" w:color="auto"/>
        <w:bottom w:val="none" w:sz="0" w:space="0" w:color="auto"/>
        <w:right w:val="none" w:sz="0" w:space="0" w:color="auto"/>
      </w:divBdr>
    </w:div>
    <w:div w:id="1282106033">
      <w:bodyDiv w:val="1"/>
      <w:marLeft w:val="0"/>
      <w:marRight w:val="0"/>
      <w:marTop w:val="0"/>
      <w:marBottom w:val="0"/>
      <w:divBdr>
        <w:top w:val="none" w:sz="0" w:space="0" w:color="auto"/>
        <w:left w:val="none" w:sz="0" w:space="0" w:color="auto"/>
        <w:bottom w:val="none" w:sz="0" w:space="0" w:color="auto"/>
        <w:right w:val="none" w:sz="0" w:space="0" w:color="auto"/>
      </w:divBdr>
    </w:div>
    <w:div w:id="1320766180">
      <w:bodyDiv w:val="1"/>
      <w:marLeft w:val="0"/>
      <w:marRight w:val="0"/>
      <w:marTop w:val="0"/>
      <w:marBottom w:val="0"/>
      <w:divBdr>
        <w:top w:val="none" w:sz="0" w:space="0" w:color="auto"/>
        <w:left w:val="none" w:sz="0" w:space="0" w:color="auto"/>
        <w:bottom w:val="none" w:sz="0" w:space="0" w:color="auto"/>
        <w:right w:val="none" w:sz="0" w:space="0" w:color="auto"/>
      </w:divBdr>
    </w:div>
    <w:div w:id="1526794366">
      <w:bodyDiv w:val="1"/>
      <w:marLeft w:val="0"/>
      <w:marRight w:val="0"/>
      <w:marTop w:val="0"/>
      <w:marBottom w:val="0"/>
      <w:divBdr>
        <w:top w:val="none" w:sz="0" w:space="0" w:color="auto"/>
        <w:left w:val="none" w:sz="0" w:space="0" w:color="auto"/>
        <w:bottom w:val="none" w:sz="0" w:space="0" w:color="auto"/>
        <w:right w:val="none" w:sz="0" w:space="0" w:color="auto"/>
      </w:divBdr>
    </w:div>
    <w:div w:id="1646861017">
      <w:bodyDiv w:val="1"/>
      <w:marLeft w:val="0"/>
      <w:marRight w:val="0"/>
      <w:marTop w:val="0"/>
      <w:marBottom w:val="0"/>
      <w:divBdr>
        <w:top w:val="none" w:sz="0" w:space="0" w:color="auto"/>
        <w:left w:val="none" w:sz="0" w:space="0" w:color="auto"/>
        <w:bottom w:val="none" w:sz="0" w:space="0" w:color="auto"/>
        <w:right w:val="none" w:sz="0" w:space="0" w:color="auto"/>
      </w:divBdr>
    </w:div>
    <w:div w:id="1737586996">
      <w:bodyDiv w:val="1"/>
      <w:marLeft w:val="0"/>
      <w:marRight w:val="0"/>
      <w:marTop w:val="0"/>
      <w:marBottom w:val="0"/>
      <w:divBdr>
        <w:top w:val="none" w:sz="0" w:space="0" w:color="auto"/>
        <w:left w:val="none" w:sz="0" w:space="0" w:color="auto"/>
        <w:bottom w:val="none" w:sz="0" w:space="0" w:color="auto"/>
        <w:right w:val="none" w:sz="0" w:space="0" w:color="auto"/>
      </w:divBdr>
      <w:divsChild>
        <w:div w:id="1858036155">
          <w:marLeft w:val="660"/>
          <w:marRight w:val="660"/>
          <w:marTop w:val="0"/>
          <w:marBottom w:val="0"/>
          <w:divBdr>
            <w:top w:val="none" w:sz="0" w:space="0" w:color="auto"/>
            <w:left w:val="none" w:sz="0" w:space="0" w:color="auto"/>
            <w:bottom w:val="none" w:sz="0" w:space="0" w:color="auto"/>
            <w:right w:val="none" w:sz="0" w:space="0" w:color="auto"/>
          </w:divBdr>
          <w:divsChild>
            <w:div w:id="519392925">
              <w:marLeft w:val="0"/>
              <w:marRight w:val="0"/>
              <w:marTop w:val="0"/>
              <w:marBottom w:val="0"/>
              <w:divBdr>
                <w:top w:val="none" w:sz="0" w:space="0" w:color="auto"/>
                <w:left w:val="none" w:sz="0" w:space="0" w:color="auto"/>
                <w:bottom w:val="none" w:sz="0" w:space="0" w:color="auto"/>
                <w:right w:val="none" w:sz="0" w:space="0" w:color="auto"/>
              </w:divBdr>
              <w:divsChild>
                <w:div w:id="2107728273">
                  <w:marLeft w:val="0"/>
                  <w:marRight w:val="0"/>
                  <w:marTop w:val="0"/>
                  <w:marBottom w:val="0"/>
                  <w:divBdr>
                    <w:top w:val="none" w:sz="0" w:space="0" w:color="auto"/>
                    <w:left w:val="none" w:sz="0" w:space="0" w:color="auto"/>
                    <w:bottom w:val="none" w:sz="0" w:space="0" w:color="auto"/>
                    <w:right w:val="none" w:sz="0" w:space="0" w:color="auto"/>
                  </w:divBdr>
                  <w:divsChild>
                    <w:div w:id="359941398">
                      <w:marLeft w:val="0"/>
                      <w:marRight w:val="0"/>
                      <w:marTop w:val="0"/>
                      <w:marBottom w:val="0"/>
                      <w:divBdr>
                        <w:top w:val="none" w:sz="0" w:space="0" w:color="auto"/>
                        <w:left w:val="none" w:sz="0" w:space="0" w:color="auto"/>
                        <w:bottom w:val="none" w:sz="0" w:space="0" w:color="auto"/>
                        <w:right w:val="none" w:sz="0" w:space="0" w:color="auto"/>
                      </w:divBdr>
                      <w:divsChild>
                        <w:div w:id="122526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0419714">
      <w:bodyDiv w:val="1"/>
      <w:marLeft w:val="0"/>
      <w:marRight w:val="0"/>
      <w:marTop w:val="0"/>
      <w:marBottom w:val="0"/>
      <w:divBdr>
        <w:top w:val="none" w:sz="0" w:space="0" w:color="auto"/>
        <w:left w:val="none" w:sz="0" w:space="0" w:color="auto"/>
        <w:bottom w:val="none" w:sz="0" w:space="0" w:color="auto"/>
        <w:right w:val="none" w:sz="0" w:space="0" w:color="auto"/>
      </w:divBdr>
    </w:div>
    <w:div w:id="1889804851">
      <w:bodyDiv w:val="1"/>
      <w:marLeft w:val="0"/>
      <w:marRight w:val="0"/>
      <w:marTop w:val="0"/>
      <w:marBottom w:val="0"/>
      <w:divBdr>
        <w:top w:val="none" w:sz="0" w:space="0" w:color="auto"/>
        <w:left w:val="none" w:sz="0" w:space="0" w:color="auto"/>
        <w:bottom w:val="none" w:sz="0" w:space="0" w:color="auto"/>
        <w:right w:val="none" w:sz="0" w:space="0" w:color="auto"/>
      </w:divBdr>
    </w:div>
    <w:div w:id="1980187249">
      <w:bodyDiv w:val="1"/>
      <w:marLeft w:val="0"/>
      <w:marRight w:val="0"/>
      <w:marTop w:val="0"/>
      <w:marBottom w:val="0"/>
      <w:divBdr>
        <w:top w:val="none" w:sz="0" w:space="0" w:color="auto"/>
        <w:left w:val="none" w:sz="0" w:space="0" w:color="auto"/>
        <w:bottom w:val="none" w:sz="0" w:space="0" w:color="auto"/>
        <w:right w:val="none" w:sz="0" w:space="0" w:color="auto"/>
      </w:divBdr>
    </w:div>
    <w:div w:id="20862179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ithub.com/AndreiDeviatkin/repo/blob/main/Selection_pressure_profile_suggests_species_criteria_among_tick-borne_flaviviruses/data/MAFFT_based_alignments/tick_aa_0.98_al_ORF.fa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thub.com/AndreiDeviatkin/repo/blob/main/Selection_pressure_profile_suggests_species_criteria_among_tick-borne_flaviviruses/data/MAFFT_based_alignments/tick_nt_0.98_al_ORF.fa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ithub.com/AndreiDeviatkin/repo/blob/main/Selection_pressure_profile_suggests_species_criteria_among_tick-borne_flaviviruses/data/pairwise_dnds_tables/tick_nt_0.98_al_ORF_codon.fas_dnds.tx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AndreiDeviatkin/repo/blob/main/Orthoflavivirus_eurasiaticus_proposal/Figure2+Figure3_generation.R" TargetMode="External"/><Relationship Id="rId5" Type="http://schemas.openxmlformats.org/officeDocument/2006/relationships/webSettings" Target="webSettings.xml"/><Relationship Id="rId15" Type="http://schemas.openxmlformats.org/officeDocument/2006/relationships/hyperlink" Target="https://github.com/AndreiDeviatkin/repo/blob/main/Orthoflavivirus_eurasiaticus_proposal/Figure2+Figure3_generation.R"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96733-9CD7-4CED-82FC-2A5556386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30599</Words>
  <Characters>174415</Characters>
  <Application>Microsoft Office Word</Application>
  <DocSecurity>0</DocSecurity>
  <Lines>1453</Lines>
  <Paragraphs>409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Simmonds</dc:creator>
  <cp:lastModifiedBy>Peter Simmonds</cp:lastModifiedBy>
  <cp:revision>4</cp:revision>
  <dcterms:created xsi:type="dcterms:W3CDTF">2026-09-15T12:41:00Z</dcterms:created>
  <dcterms:modified xsi:type="dcterms:W3CDTF">2026-10-01T10:34:00Z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endeley Recent Style Id 0_1">
    <vt:lpwstr>http://www.zotero.org/styles/chicago-author-date</vt:lpwstr>
  </property>
  <property fmtid="{D5CDD505-2E9C-101B-9397-08002B2CF9AE}" pid="9" name="Mendeley Recent Style Name 0_1">
    <vt:lpwstr>Chicago Manual of Style 17th edition (author-date)</vt:lpwstr>
  </property>
  <property fmtid="{D5CDD505-2E9C-101B-9397-08002B2CF9AE}" pid="10" name="Mendeley Recent Style Id 1_1">
    <vt:lpwstr>http://www.zotero.org/styles/harvard-cite-them-right</vt:lpwstr>
  </property>
  <property fmtid="{D5CDD505-2E9C-101B-9397-08002B2CF9AE}" pid="11" name="Mendeley Recent Style Name 1_1">
    <vt:lpwstr>Cite Them Right 10th edition - Harvard</vt:lpwstr>
  </property>
  <property fmtid="{D5CDD505-2E9C-101B-9397-08002B2CF9AE}" pid="12" name="Mendeley Recent Style Id 2_1">
    <vt:lpwstr>http://www.zotero.org/styles/elsevier-vancouver</vt:lpwstr>
  </property>
  <property fmtid="{D5CDD505-2E9C-101B-9397-08002B2CF9AE}" pid="13" name="Mendeley Recent Style Name 2_1">
    <vt:lpwstr>Elsevier - NLM/Vancouver (citation-sequence)</vt:lpwstr>
  </property>
  <property fmtid="{D5CDD505-2E9C-101B-9397-08002B2CF9AE}" pid="14" name="Mendeley Recent Style Id 3_1">
    <vt:lpwstr>http://www.zotero.org/styles/frontiers</vt:lpwstr>
  </property>
  <property fmtid="{D5CDD505-2E9C-101B-9397-08002B2CF9AE}" pid="15" name="Mendeley Recent Style Name 3_1">
    <vt:lpwstr>Frontiers journals</vt:lpwstr>
  </property>
  <property fmtid="{D5CDD505-2E9C-101B-9397-08002B2CF9AE}" pid="16" name="Mendeley Recent Style Id 4_1">
    <vt:lpwstr>http://www.zotero.org/styles/infection-genetics-and-evolution</vt:lpwstr>
  </property>
  <property fmtid="{D5CDD505-2E9C-101B-9397-08002B2CF9AE}" pid="17" name="Mendeley Recent Style Name 4_1">
    <vt:lpwstr>Infection, Genetics and Evolution</vt:lpwstr>
  </property>
  <property fmtid="{D5CDD505-2E9C-101B-9397-08002B2CF9AE}" pid="18" name="Mendeley Recent Style Id 5_1">
    <vt:lpwstr>http://www.zotero.org/styles/national-library-of-medicine</vt:lpwstr>
  </property>
  <property fmtid="{D5CDD505-2E9C-101B-9397-08002B2CF9AE}" pid="19" name="Mendeley Recent Style Name 5_1">
    <vt:lpwstr>National Library of Medicine</vt:lpwstr>
  </property>
  <property fmtid="{D5CDD505-2E9C-101B-9397-08002B2CF9AE}" pid="20" name="Mendeley Recent Style Id 6_1">
    <vt:lpwstr>http://www.zotero.org/styles/nucleic-acids-research</vt:lpwstr>
  </property>
  <property fmtid="{D5CDD505-2E9C-101B-9397-08002B2CF9AE}" pid="21" name="Mendeley Recent Style Name 6_1">
    <vt:lpwstr>Nucleic Acids Research</vt:lpwstr>
  </property>
  <property fmtid="{D5CDD505-2E9C-101B-9397-08002B2CF9AE}" pid="22" name="Mendeley Recent Style Id 7_1">
    <vt:lpwstr>http://www.zotero.org/styles/gost-r-7-0-5-2008-numeric</vt:lpwstr>
  </property>
  <property fmtid="{D5CDD505-2E9C-101B-9397-08002B2CF9AE}" pid="23" name="Mendeley Recent Style Name 7_1">
    <vt:lpwstr>Russian GOST R 7.0.5-2008 (numeric)</vt:lpwstr>
  </property>
  <property fmtid="{D5CDD505-2E9C-101B-9397-08002B2CF9AE}" pid="24" name="Mendeley Recent Style Id 8_1">
    <vt:lpwstr>http://csl.mendeley.com/styles/683525711/springer-mathphys-brackets</vt:lpwstr>
  </property>
  <property fmtid="{D5CDD505-2E9C-101B-9397-08002B2CF9AE}" pid="25" name="Mendeley Recent Style Name 8_1">
    <vt:lpwstr>Springer - MathPhys (numeric, brackets) - Anastasiia Paremskaia</vt:lpwstr>
  </property>
  <property fmtid="{D5CDD505-2E9C-101B-9397-08002B2CF9AE}" pid="26" name="Mendeley Recent Style Id 9_1">
    <vt:lpwstr>https://bibliostyle.ru/stil-gost-7-0-100-2018-dlya-mendeley-i-zotero-style-russian-gost-r-7-0-100-2018-csl/</vt:lpwstr>
  </property>
  <property fmtid="{D5CDD505-2E9C-101B-9397-08002B2CF9AE}" pid="27" name="Mendeley Recent Style Name 9_1">
    <vt:lpwstr>gost-r-7-0-100-2018-numeric-alphabetical</vt:lpwstr>
  </property>
  <property fmtid="{D5CDD505-2E9C-101B-9397-08002B2CF9AE}" pid="28" name="Mendeley Document_1">
    <vt:lpwstr>True</vt:lpwstr>
  </property>
  <property fmtid="{D5CDD505-2E9C-101B-9397-08002B2CF9AE}" pid="29" name="Mendeley Unique User Id_1">
    <vt:lpwstr>1ee6ad74-768a-3f71-baa2-b11dfce1d98b</vt:lpwstr>
  </property>
  <property fmtid="{D5CDD505-2E9C-101B-9397-08002B2CF9AE}" pid="30" name="Mendeley Citation Style_1">
    <vt:lpwstr>http://csl.mendeley.com/styles/683525711/springer-mathphys-brackets</vt:lpwstr>
  </property>
</Properties>
</file>