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18E27CA" w:rsidR="00A174CC" w:rsidRDefault="00825D35">
      <w:pPr>
        <w:rPr>
          <w:rFonts w:ascii="Aptos" w:hAnsi="Aptos" w:cs="Arial"/>
          <w:b/>
          <w:color w:val="000000"/>
          <w:sz w:val="20"/>
          <w:szCs w:val="20"/>
        </w:rPr>
      </w:pPr>
      <w:hyperlink r:id="rId9" w:history="1"/>
      <w:r w:rsidR="00BE4F5A" w:rsidRPr="00C95FB7">
        <w:rPr>
          <w:rFonts w:ascii="Aptos" w:hAnsi="Aptos" w:cs="Arial"/>
          <w:b/>
          <w:color w:val="000000"/>
          <w:sz w:val="20"/>
          <w:szCs w:val="20"/>
        </w:rPr>
        <w:t>Part 1</w:t>
      </w:r>
      <w:r w:rsidR="00BE4F5A">
        <w:rPr>
          <w:rFonts w:ascii="Aptos" w:hAnsi="Aptos" w:cs="Arial"/>
          <w:b/>
          <w:color w:val="000000"/>
          <w:sz w:val="20"/>
          <w:szCs w:val="20"/>
        </w:rPr>
        <w:t>a</w:t>
      </w:r>
      <w:r w:rsidR="00BE4F5A" w:rsidRPr="00C95FB7">
        <w:rPr>
          <w:rFonts w:ascii="Aptos" w:hAnsi="Aptos" w:cs="Arial"/>
          <w:b/>
          <w:color w:val="000000"/>
          <w:sz w:val="20"/>
          <w:szCs w:val="20"/>
        </w:rPr>
        <w:t>:</w:t>
      </w:r>
      <w:r w:rsidR="00BE4F5A">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5DBC11ED" w:rsidR="00E37077" w:rsidRPr="001D0007" w:rsidRDefault="00334462" w:rsidP="00DD58AA">
            <w:pPr>
              <w:rPr>
                <w:rFonts w:ascii="Aptos" w:hAnsi="Aptos" w:cs="Arial"/>
                <w:color w:val="000000" w:themeColor="text1"/>
                <w:sz w:val="20"/>
              </w:rPr>
            </w:pPr>
            <w:r>
              <w:rPr>
                <w:rFonts w:ascii="Aptos" w:hAnsi="Aptos" w:cs="Arial"/>
                <w:color w:val="000000" w:themeColor="text1"/>
                <w:sz w:val="20"/>
              </w:rPr>
              <w:t xml:space="preserve">Establishing the family </w:t>
            </w:r>
            <w:r w:rsidR="00CC5DB1">
              <w:rPr>
                <w:rFonts w:ascii="Aptos" w:hAnsi="Aptos" w:cs="Arial"/>
                <w:color w:val="000000" w:themeColor="text1"/>
                <w:sz w:val="20"/>
              </w:rPr>
              <w:t>“</w:t>
            </w:r>
            <w:r w:rsidR="00502BEA" w:rsidRPr="00CC5DB1">
              <w:rPr>
                <w:rFonts w:ascii="Aptos" w:hAnsi="Aptos" w:cs="Arial"/>
                <w:i/>
                <w:iCs/>
                <w:color w:val="000000" w:themeColor="text1"/>
                <w:sz w:val="20"/>
              </w:rPr>
              <w:t>Mininucleoviridae</w:t>
            </w:r>
            <w:r w:rsidR="00CC5DB1">
              <w:rPr>
                <w:rFonts w:ascii="Aptos" w:hAnsi="Aptos" w:cs="Arial"/>
                <w:color w:val="000000" w:themeColor="text1"/>
                <w:sz w:val="20"/>
              </w:rPr>
              <w:t>”</w:t>
            </w:r>
            <w:r w:rsidR="00502BEA">
              <w:rPr>
                <w:rFonts w:ascii="Aptos" w:hAnsi="Aptos" w:cs="Arial"/>
                <w:color w:val="000000" w:themeColor="text1"/>
                <w:sz w:val="20"/>
              </w:rPr>
              <w:t xml:space="preserve"> and</w:t>
            </w:r>
            <w:r>
              <w:rPr>
                <w:rFonts w:ascii="Aptos" w:hAnsi="Aptos" w:cs="Arial"/>
                <w:color w:val="000000" w:themeColor="text1"/>
                <w:sz w:val="20"/>
              </w:rPr>
              <w:t xml:space="preserve"> species for viruses</w:t>
            </w:r>
            <w:r w:rsidR="00502BEA">
              <w:rPr>
                <w:rFonts w:ascii="Aptos" w:hAnsi="Aptos" w:cs="Arial"/>
                <w:color w:val="000000" w:themeColor="text1"/>
                <w:sz w:val="20"/>
              </w:rPr>
              <w:t xml:space="preserve"> found only in crustacean hosts</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2C270A70" w:rsidR="00E37077" w:rsidRPr="00CC5DB1" w:rsidRDefault="004A3BA8" w:rsidP="00DD58AA">
            <w:pPr>
              <w:pStyle w:val="BodyTextIndent"/>
              <w:ind w:left="0" w:firstLine="0"/>
              <w:rPr>
                <w:rFonts w:ascii="Aptos" w:hAnsi="Aptos" w:cs="Arial"/>
                <w:bCs/>
                <w:iCs/>
                <w:sz w:val="20"/>
              </w:rPr>
            </w:pPr>
            <w:r w:rsidRPr="004A3BA8">
              <w:rPr>
                <w:rFonts w:ascii="Aptos" w:hAnsi="Aptos" w:cs="Arial"/>
                <w:bCs/>
                <w:iCs/>
                <w:sz w:val="20"/>
              </w:rPr>
              <w:t>2026.006D.N.v1.Mininucleoviridae_1nf_1ng_3nsp</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6669CAA8"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61D1DF6C"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126" w:type="dxa"/>
            <w:shd w:val="clear" w:color="auto" w:fill="F2F2F2" w:themeFill="background1" w:themeFillShade="F2"/>
            <w:vAlign w:val="center"/>
          </w:tcPr>
          <w:p w14:paraId="6DA5FEAF" w14:textId="775BE3A9"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43FC07FD" w:rsidR="002D4340" w:rsidRPr="00AF4998" w:rsidRDefault="002D4340" w:rsidP="00AF4998">
            <w:pPr>
              <w:rPr>
                <w:rFonts w:ascii="Aptos" w:hAnsi="Aptos" w:cs="Arial"/>
                <w:color w:val="0070C0"/>
                <w:sz w:val="20"/>
                <w:szCs w:val="20"/>
              </w:rPr>
            </w:pPr>
          </w:p>
        </w:tc>
      </w:tr>
      <w:tr w:rsidR="002D4340" w14:paraId="24E4F537" w14:textId="79E9BB15" w:rsidTr="00BD6C0B">
        <w:tc>
          <w:tcPr>
            <w:tcW w:w="1838" w:type="dxa"/>
            <w:shd w:val="clear" w:color="auto" w:fill="FFFFFF" w:themeFill="background1"/>
            <w:vAlign w:val="center"/>
          </w:tcPr>
          <w:p w14:paraId="6EA9DED5" w14:textId="7936739A" w:rsidR="002D4340" w:rsidRPr="00CD2C82" w:rsidRDefault="00502BEA" w:rsidP="00E863D4">
            <w:pPr>
              <w:rPr>
                <w:rFonts w:ascii="Aptos" w:hAnsi="Aptos" w:cs="Arial"/>
                <w:bCs/>
                <w:color w:val="000000" w:themeColor="text1"/>
                <w:sz w:val="20"/>
                <w:szCs w:val="20"/>
              </w:rPr>
            </w:pPr>
            <w:r>
              <w:rPr>
                <w:rFonts w:ascii="Aptos" w:hAnsi="Aptos" w:cs="Arial"/>
                <w:bCs/>
                <w:color w:val="000000" w:themeColor="text1"/>
                <w:sz w:val="20"/>
                <w:szCs w:val="20"/>
              </w:rPr>
              <w:t xml:space="preserve">Jamie </w:t>
            </w:r>
          </w:p>
        </w:tc>
        <w:tc>
          <w:tcPr>
            <w:tcW w:w="1418" w:type="dxa"/>
            <w:shd w:val="clear" w:color="auto" w:fill="FFFFFF" w:themeFill="background1"/>
            <w:vAlign w:val="center"/>
          </w:tcPr>
          <w:p w14:paraId="2759B022" w14:textId="3F85533C" w:rsidR="002D4340" w:rsidRPr="00CD2C82" w:rsidRDefault="00502BEA" w:rsidP="00E863D4">
            <w:pPr>
              <w:rPr>
                <w:rFonts w:ascii="Aptos" w:hAnsi="Aptos" w:cs="Arial"/>
                <w:bCs/>
                <w:color w:val="000000" w:themeColor="text1"/>
                <w:sz w:val="20"/>
                <w:szCs w:val="20"/>
              </w:rPr>
            </w:pPr>
            <w:r>
              <w:rPr>
                <w:rFonts w:ascii="Aptos" w:hAnsi="Aptos" w:cs="Arial"/>
                <w:bCs/>
                <w:color w:val="000000" w:themeColor="text1"/>
                <w:sz w:val="20"/>
                <w:szCs w:val="20"/>
              </w:rPr>
              <w:t>Bojko</w:t>
            </w:r>
          </w:p>
        </w:tc>
        <w:tc>
          <w:tcPr>
            <w:tcW w:w="2835" w:type="dxa"/>
            <w:shd w:val="clear" w:color="auto" w:fill="FFFFFF" w:themeFill="background1"/>
            <w:vAlign w:val="center"/>
          </w:tcPr>
          <w:p w14:paraId="05D68F1D" w14:textId="48E845DB" w:rsidR="002D4340" w:rsidRPr="00CD2C82" w:rsidRDefault="00502BEA" w:rsidP="00E863D4">
            <w:pPr>
              <w:rPr>
                <w:rFonts w:ascii="Aptos" w:hAnsi="Aptos" w:cs="Arial"/>
                <w:bCs/>
                <w:color w:val="000000" w:themeColor="text1"/>
                <w:sz w:val="20"/>
                <w:szCs w:val="20"/>
              </w:rPr>
            </w:pPr>
            <w:r>
              <w:rPr>
                <w:rFonts w:ascii="Aptos" w:hAnsi="Aptos" w:cs="Arial"/>
                <w:bCs/>
                <w:color w:val="000000" w:themeColor="text1"/>
                <w:sz w:val="20"/>
                <w:szCs w:val="20"/>
              </w:rPr>
              <w:t>National Horizons Centre, Teesside University, Darlington, UK</w:t>
            </w:r>
          </w:p>
        </w:tc>
        <w:tc>
          <w:tcPr>
            <w:tcW w:w="2126" w:type="dxa"/>
            <w:shd w:val="clear" w:color="auto" w:fill="FFFFFF" w:themeFill="background1"/>
            <w:vAlign w:val="center"/>
          </w:tcPr>
          <w:p w14:paraId="133CF739" w14:textId="24160AEA" w:rsidR="002D4340" w:rsidRPr="00CD2C82" w:rsidRDefault="00502BEA" w:rsidP="00E863D4">
            <w:pPr>
              <w:rPr>
                <w:rFonts w:ascii="Aptos" w:hAnsi="Aptos" w:cs="Arial"/>
                <w:bCs/>
                <w:color w:val="000000" w:themeColor="text1"/>
                <w:sz w:val="20"/>
                <w:szCs w:val="20"/>
              </w:rPr>
            </w:pPr>
            <w:r>
              <w:rPr>
                <w:rFonts w:ascii="Aptos" w:hAnsi="Aptos" w:cs="Arial"/>
                <w:bCs/>
                <w:color w:val="000000" w:themeColor="text1"/>
                <w:sz w:val="20"/>
                <w:szCs w:val="20"/>
              </w:rPr>
              <w:t>J.Bojko@tees.ac.uk</w:t>
            </w:r>
          </w:p>
        </w:tc>
        <w:tc>
          <w:tcPr>
            <w:tcW w:w="1106" w:type="dxa"/>
            <w:shd w:val="clear" w:color="auto" w:fill="FFFFFF" w:themeFill="background1"/>
            <w:vAlign w:val="center"/>
          </w:tcPr>
          <w:p w14:paraId="16BB015A" w14:textId="5780880F" w:rsidR="002D4340" w:rsidRPr="00CD2C82" w:rsidRDefault="00502BEA" w:rsidP="00E863D4">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2D4340" w14:paraId="25991084" w14:textId="1F2FA2C1" w:rsidTr="00BD6C0B">
        <w:tc>
          <w:tcPr>
            <w:tcW w:w="1838" w:type="dxa"/>
            <w:vAlign w:val="center"/>
          </w:tcPr>
          <w:p w14:paraId="7E9FF899" w14:textId="3A6066BC" w:rsidR="002D4340" w:rsidRPr="00CD2C82" w:rsidRDefault="00502BEA" w:rsidP="00E863D4">
            <w:pPr>
              <w:rPr>
                <w:rFonts w:ascii="Aptos" w:hAnsi="Aptos" w:cs="Arial"/>
                <w:bCs/>
                <w:color w:val="000000" w:themeColor="text1"/>
                <w:sz w:val="20"/>
                <w:szCs w:val="20"/>
              </w:rPr>
            </w:pPr>
            <w:r>
              <w:rPr>
                <w:rFonts w:ascii="Aptos" w:hAnsi="Aptos" w:cs="Arial"/>
                <w:bCs/>
                <w:color w:val="000000" w:themeColor="text1"/>
                <w:sz w:val="20"/>
                <w:szCs w:val="20"/>
              </w:rPr>
              <w:t xml:space="preserve">Donald </w:t>
            </w:r>
          </w:p>
        </w:tc>
        <w:tc>
          <w:tcPr>
            <w:tcW w:w="1418" w:type="dxa"/>
            <w:vAlign w:val="center"/>
          </w:tcPr>
          <w:p w14:paraId="065089F1" w14:textId="1640C953" w:rsidR="002D4340" w:rsidRPr="00CD2C82" w:rsidRDefault="00502BEA" w:rsidP="00E863D4">
            <w:pPr>
              <w:rPr>
                <w:rFonts w:ascii="Aptos" w:hAnsi="Aptos" w:cs="Arial"/>
                <w:bCs/>
                <w:color w:val="000000" w:themeColor="text1"/>
                <w:sz w:val="20"/>
                <w:szCs w:val="20"/>
              </w:rPr>
            </w:pPr>
            <w:r>
              <w:rPr>
                <w:rFonts w:ascii="Aptos" w:hAnsi="Aptos" w:cs="Arial"/>
                <w:bCs/>
                <w:color w:val="000000" w:themeColor="text1"/>
                <w:sz w:val="20"/>
                <w:szCs w:val="20"/>
              </w:rPr>
              <w:t>Behringer</w:t>
            </w:r>
          </w:p>
        </w:tc>
        <w:tc>
          <w:tcPr>
            <w:tcW w:w="2835" w:type="dxa"/>
            <w:vAlign w:val="center"/>
          </w:tcPr>
          <w:p w14:paraId="5A10F992" w14:textId="3C7EF806" w:rsidR="002D4340" w:rsidRPr="00CD2C82" w:rsidRDefault="00502BEA" w:rsidP="00E863D4">
            <w:pPr>
              <w:rPr>
                <w:rFonts w:ascii="Aptos" w:hAnsi="Aptos" w:cs="Arial"/>
                <w:bCs/>
                <w:color w:val="000000" w:themeColor="text1"/>
                <w:sz w:val="20"/>
                <w:szCs w:val="20"/>
              </w:rPr>
            </w:pPr>
            <w:r>
              <w:rPr>
                <w:rFonts w:ascii="Aptos" w:hAnsi="Aptos" w:cs="Arial"/>
                <w:bCs/>
                <w:color w:val="000000" w:themeColor="text1"/>
                <w:sz w:val="20"/>
                <w:szCs w:val="20"/>
              </w:rPr>
              <w:t>School of forest resources and geomatic, University of Florida, Gainesville, FL, USA</w:t>
            </w:r>
          </w:p>
        </w:tc>
        <w:tc>
          <w:tcPr>
            <w:tcW w:w="2126" w:type="dxa"/>
            <w:vAlign w:val="center"/>
          </w:tcPr>
          <w:p w14:paraId="584336C5" w14:textId="7BD4E5EE" w:rsidR="002D4340" w:rsidRPr="00CD2C82" w:rsidRDefault="00502BEA" w:rsidP="00E863D4">
            <w:pPr>
              <w:rPr>
                <w:rFonts w:ascii="Aptos" w:hAnsi="Aptos" w:cs="Arial"/>
                <w:bCs/>
                <w:color w:val="000000" w:themeColor="text1"/>
                <w:sz w:val="20"/>
                <w:szCs w:val="20"/>
              </w:rPr>
            </w:pPr>
            <w:r>
              <w:rPr>
                <w:rFonts w:ascii="Aptos" w:hAnsi="Aptos" w:cs="Arial"/>
                <w:bCs/>
                <w:color w:val="000000" w:themeColor="text1"/>
                <w:sz w:val="20"/>
                <w:szCs w:val="20"/>
              </w:rPr>
              <w:t>behringer@ufl.edu</w:t>
            </w:r>
          </w:p>
        </w:tc>
        <w:tc>
          <w:tcPr>
            <w:tcW w:w="1106" w:type="dxa"/>
            <w:vAlign w:val="center"/>
          </w:tcPr>
          <w:p w14:paraId="01837D6A" w14:textId="61C52A51" w:rsidR="002D4340" w:rsidRPr="00CD2C82" w:rsidRDefault="002D4340" w:rsidP="00E863D4">
            <w:pPr>
              <w:jc w:val="center"/>
              <w:rPr>
                <w:rFonts w:ascii="Aptos" w:hAnsi="Aptos" w:cs="Arial"/>
                <w:bCs/>
                <w:color w:val="000000" w:themeColor="text1"/>
                <w:sz w:val="20"/>
                <w:szCs w:val="20"/>
              </w:rPr>
            </w:pPr>
          </w:p>
        </w:tc>
      </w:tr>
      <w:tr w:rsidR="002D4340" w14:paraId="1B668FB3" w14:textId="2C6F00EF" w:rsidTr="00BD6C0B">
        <w:tc>
          <w:tcPr>
            <w:tcW w:w="1838" w:type="dxa"/>
            <w:vAlign w:val="center"/>
          </w:tcPr>
          <w:p w14:paraId="7C1B4F79" w14:textId="3018ADF8" w:rsidR="002D4340" w:rsidRPr="00CD2C82" w:rsidRDefault="002D4340" w:rsidP="00E863D4">
            <w:pPr>
              <w:rPr>
                <w:rFonts w:ascii="Aptos" w:hAnsi="Aptos" w:cs="Arial"/>
                <w:bCs/>
                <w:color w:val="000000" w:themeColor="text1"/>
                <w:sz w:val="20"/>
                <w:szCs w:val="20"/>
              </w:rPr>
            </w:pPr>
          </w:p>
        </w:tc>
        <w:tc>
          <w:tcPr>
            <w:tcW w:w="1418" w:type="dxa"/>
            <w:vAlign w:val="center"/>
          </w:tcPr>
          <w:p w14:paraId="5E41446B" w14:textId="65EA45E7" w:rsidR="002D4340" w:rsidRPr="00CD2C82" w:rsidRDefault="002D4340" w:rsidP="00E863D4">
            <w:pPr>
              <w:rPr>
                <w:rFonts w:ascii="Aptos" w:hAnsi="Aptos" w:cs="Arial"/>
                <w:bCs/>
                <w:color w:val="000000" w:themeColor="text1"/>
                <w:sz w:val="20"/>
                <w:szCs w:val="20"/>
              </w:rPr>
            </w:pPr>
          </w:p>
        </w:tc>
        <w:tc>
          <w:tcPr>
            <w:tcW w:w="2835" w:type="dxa"/>
            <w:vAlign w:val="center"/>
          </w:tcPr>
          <w:p w14:paraId="3EC4C5A6" w14:textId="673E77D7" w:rsidR="002D4340" w:rsidRPr="00CD2C82" w:rsidRDefault="002D4340" w:rsidP="00E863D4">
            <w:pPr>
              <w:rPr>
                <w:rFonts w:ascii="Aptos" w:hAnsi="Aptos" w:cs="Arial"/>
                <w:bCs/>
                <w:color w:val="000000" w:themeColor="text1"/>
                <w:sz w:val="20"/>
                <w:szCs w:val="20"/>
              </w:rPr>
            </w:pPr>
          </w:p>
        </w:tc>
        <w:tc>
          <w:tcPr>
            <w:tcW w:w="2126" w:type="dxa"/>
            <w:vAlign w:val="center"/>
          </w:tcPr>
          <w:p w14:paraId="1DDF5257" w14:textId="1B9150C0" w:rsidR="002D4340" w:rsidRPr="00CD2C82" w:rsidRDefault="002D4340" w:rsidP="00E863D4">
            <w:pPr>
              <w:rPr>
                <w:rFonts w:ascii="Aptos" w:hAnsi="Aptos" w:cs="Arial"/>
                <w:bCs/>
                <w:color w:val="000000" w:themeColor="text1"/>
                <w:sz w:val="20"/>
                <w:szCs w:val="20"/>
              </w:rPr>
            </w:pPr>
          </w:p>
        </w:tc>
        <w:tc>
          <w:tcPr>
            <w:tcW w:w="1106" w:type="dxa"/>
            <w:vAlign w:val="center"/>
          </w:tcPr>
          <w:p w14:paraId="398397DC" w14:textId="63F54794" w:rsidR="002D4340" w:rsidRPr="00CD2C82" w:rsidRDefault="002D4340" w:rsidP="00E863D4">
            <w:pPr>
              <w:jc w:val="center"/>
              <w:rPr>
                <w:rFonts w:ascii="Aptos" w:hAnsi="Aptos" w:cs="Arial"/>
                <w:bCs/>
                <w:color w:val="000000" w:themeColor="text1"/>
                <w:sz w:val="20"/>
                <w:szCs w:val="20"/>
              </w:rPr>
            </w:pPr>
          </w:p>
        </w:tc>
      </w:tr>
      <w:tr w:rsidR="002D596C" w14:paraId="0CD62EE1" w14:textId="77777777" w:rsidTr="00BD6C0B">
        <w:tc>
          <w:tcPr>
            <w:tcW w:w="1838" w:type="dxa"/>
            <w:vAlign w:val="center"/>
          </w:tcPr>
          <w:p w14:paraId="126B3578" w14:textId="77777777" w:rsidR="002D596C" w:rsidRPr="00CD2C82" w:rsidRDefault="002D596C" w:rsidP="00E863D4">
            <w:pPr>
              <w:rPr>
                <w:rFonts w:ascii="Aptos" w:hAnsi="Aptos" w:cs="Arial"/>
                <w:bCs/>
                <w:color w:val="000000" w:themeColor="text1"/>
                <w:sz w:val="20"/>
                <w:szCs w:val="20"/>
              </w:rPr>
            </w:pPr>
          </w:p>
        </w:tc>
        <w:tc>
          <w:tcPr>
            <w:tcW w:w="1418" w:type="dxa"/>
            <w:vAlign w:val="center"/>
          </w:tcPr>
          <w:p w14:paraId="35EEF6A0" w14:textId="77777777" w:rsidR="002D596C" w:rsidRPr="00CD2C82" w:rsidRDefault="002D596C" w:rsidP="00E863D4">
            <w:pPr>
              <w:rPr>
                <w:rFonts w:ascii="Aptos" w:hAnsi="Aptos" w:cs="Arial"/>
                <w:bCs/>
                <w:color w:val="000000" w:themeColor="text1"/>
                <w:sz w:val="20"/>
                <w:szCs w:val="20"/>
              </w:rPr>
            </w:pPr>
          </w:p>
        </w:tc>
        <w:tc>
          <w:tcPr>
            <w:tcW w:w="2835" w:type="dxa"/>
            <w:vAlign w:val="center"/>
          </w:tcPr>
          <w:p w14:paraId="2B7821E5" w14:textId="77777777" w:rsidR="002D596C" w:rsidRPr="00CD2C82" w:rsidRDefault="002D596C" w:rsidP="00E863D4">
            <w:pPr>
              <w:rPr>
                <w:rFonts w:ascii="Aptos" w:hAnsi="Aptos" w:cs="Arial"/>
                <w:bCs/>
                <w:color w:val="000000" w:themeColor="text1"/>
                <w:sz w:val="20"/>
                <w:szCs w:val="20"/>
              </w:rPr>
            </w:pPr>
          </w:p>
        </w:tc>
        <w:tc>
          <w:tcPr>
            <w:tcW w:w="2126" w:type="dxa"/>
            <w:vAlign w:val="center"/>
          </w:tcPr>
          <w:p w14:paraId="3AB90E2E" w14:textId="77777777" w:rsidR="002D596C" w:rsidRPr="00CD2C82" w:rsidRDefault="002D596C" w:rsidP="00E863D4">
            <w:pPr>
              <w:rPr>
                <w:rFonts w:ascii="Aptos" w:hAnsi="Aptos" w:cs="Arial"/>
                <w:bCs/>
                <w:color w:val="000000" w:themeColor="text1"/>
                <w:sz w:val="20"/>
                <w:szCs w:val="20"/>
              </w:rPr>
            </w:pPr>
          </w:p>
        </w:tc>
        <w:tc>
          <w:tcPr>
            <w:tcW w:w="1106" w:type="dxa"/>
            <w:vAlign w:val="center"/>
          </w:tcPr>
          <w:p w14:paraId="6861D932" w14:textId="77777777" w:rsidR="002D596C" w:rsidRPr="00CD2C82" w:rsidRDefault="002D596C" w:rsidP="00E863D4">
            <w:pPr>
              <w:jc w:val="center"/>
              <w:rPr>
                <w:rFonts w:ascii="Aptos" w:hAnsi="Aptos" w:cs="Arial"/>
                <w:bCs/>
                <w:color w:val="000000" w:themeColor="text1"/>
                <w:sz w:val="20"/>
                <w:szCs w:val="20"/>
              </w:rPr>
            </w:pPr>
          </w:p>
        </w:tc>
      </w:tr>
    </w:tbl>
    <w:p w14:paraId="070FAC74" w14:textId="7A9A7276" w:rsidR="00A174CC" w:rsidRPr="00C95FB7" w:rsidRDefault="00A174CC" w:rsidP="00DD58AA">
      <w:pPr>
        <w:rPr>
          <w:rFonts w:ascii="Aptos" w:hAnsi="Aptos" w:cs="Arial"/>
          <w:b/>
          <w:sz w:val="20"/>
          <w:szCs w:val="20"/>
        </w:rPr>
      </w:pPr>
    </w:p>
    <w:p w14:paraId="1382B4BD" w14:textId="17798C52" w:rsidR="000A7027" w:rsidRDefault="0067795B" w:rsidP="000A7027">
      <w:pPr>
        <w:spacing w:before="120" w:after="120"/>
        <w:rPr>
          <w:rFonts w:ascii="Aptos" w:hAnsi="Aptos" w:cs="Arial"/>
          <w:b/>
          <w:sz w:val="20"/>
          <w:szCs w:val="20"/>
        </w:rPr>
      </w:pPr>
      <w:r>
        <w:rPr>
          <w:rFonts w:ascii="Aptos" w:hAnsi="Aptos" w:cs="Arial"/>
          <w:b/>
          <w:sz w:val="20"/>
          <w:szCs w:val="20"/>
        </w:rPr>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54"/>
        <w:gridCol w:w="316"/>
        <w:gridCol w:w="3909"/>
        <w:gridCol w:w="326"/>
      </w:tblGrid>
      <w:tr w:rsidR="00683D0C" w14:paraId="02C75B6A" w14:textId="77777777" w:rsidTr="00683D0C">
        <w:tc>
          <w:tcPr>
            <w:tcW w:w="8505" w:type="dxa"/>
            <w:gridSpan w:val="4"/>
            <w:shd w:val="clear" w:color="auto" w:fill="F2F2F2" w:themeFill="background1" w:themeFillShade="F2"/>
          </w:tcPr>
          <w:p w14:paraId="0F928364" w14:textId="3DAF7F2F"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3185D36C" w:rsidR="00D062BE" w:rsidRDefault="00502BEA"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1A6BFD07"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54ADE8AD"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10" w:history="1"/>
          </w:p>
        </w:tc>
      </w:tr>
      <w:tr w:rsidR="0072682D" w:rsidRPr="000C5189" w14:paraId="0BE0A499" w14:textId="77777777" w:rsidTr="00FC2269">
        <w:trPr>
          <w:trHeight w:val="527"/>
        </w:trPr>
        <w:tc>
          <w:tcPr>
            <w:tcW w:w="8505" w:type="dxa"/>
          </w:tcPr>
          <w:p w14:paraId="44334E47" w14:textId="608C9AED" w:rsidR="0072682D" w:rsidRPr="000C5189" w:rsidRDefault="00502BEA" w:rsidP="00DD58AA">
            <w:pPr>
              <w:rPr>
                <w:rFonts w:ascii="Aptos" w:hAnsi="Aptos" w:cs="Arial"/>
                <w:sz w:val="20"/>
                <w:szCs w:val="20"/>
              </w:rPr>
            </w:pPr>
            <w:r w:rsidRPr="00296DA3">
              <w:rPr>
                <w:rFonts w:ascii="Aptos" w:eastAsia="Times" w:hAnsi="Aptos" w:cs="Arial"/>
                <w:color w:val="000000"/>
                <w:sz w:val="20"/>
                <w:szCs w:val="20"/>
                <w:lang w:eastAsia="en-GB"/>
              </w:rPr>
              <w:t>Animal DNA Viruses and Retroviruses</w:t>
            </w: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7EB5D08E"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521CDD45"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334462">
              <w:rPr>
                <w:rFonts w:ascii="Aptos" w:hAnsi="Aptos" w:cs="Arial"/>
                <w:bCs/>
                <w:sz w:val="20"/>
                <w:szCs w:val="20"/>
              </w:rPr>
              <w:t>26/07/2026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2BD608CA" w14:textId="77777777" w:rsidR="00CC5DB1" w:rsidRDefault="00CC5DB1">
      <w:pPr>
        <w:rPr>
          <w:rFonts w:ascii="Aptos" w:hAnsi="Aptos" w:cs="Arial"/>
          <w:b/>
          <w:sz w:val="20"/>
          <w:szCs w:val="20"/>
        </w:rPr>
      </w:pPr>
      <w:r>
        <w:rPr>
          <w:rFonts w:ascii="Aptos" w:hAnsi="Aptos" w:cs="Arial"/>
          <w:b/>
          <w:sz w:val="20"/>
          <w:szCs w:val="20"/>
        </w:rPr>
        <w:br w:type="page"/>
      </w:r>
    </w:p>
    <w:p w14:paraId="6142524C" w14:textId="4C171038"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lastRenderedPageBreak/>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5F433A19"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09845FB5"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68E8A08E"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73B6D4D1" w:rsidR="00DD58AA" w:rsidRDefault="00825D35" w:rsidP="00DD58AA">
      <w:pPr>
        <w:pStyle w:val="BodyTextIndent"/>
        <w:ind w:left="0" w:hanging="15"/>
        <w:rPr>
          <w:rFonts w:ascii="Aptos" w:hAnsi="Aptos" w:cs="Arial"/>
          <w:b/>
          <w:color w:val="000000"/>
          <w:sz w:val="20"/>
        </w:rPr>
      </w:pPr>
      <w:hyperlink r:id="rId11" w:history="1">
        <w:r w:rsidR="001D0007" w:rsidRPr="00372832">
          <w:rPr>
            <w:rStyle w:val="Hyperlink"/>
            <w:rFonts w:ascii="Aptos" w:hAnsi="Aptos" w:cs="Arial"/>
            <w:sz w:val="20"/>
          </w:rPr>
          <w:t>https://ictv.global/taxonomy/templates</w:t>
        </w:r>
      </w:hyperlink>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632F236E"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76AC7244" w:rsidR="00953FFE" w:rsidRDefault="00395450"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4531"/>
        <w:gridCol w:w="4395"/>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20A82746"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0395450">
        <w:trPr>
          <w:trHeight w:val="73"/>
        </w:trPr>
        <w:tc>
          <w:tcPr>
            <w:tcW w:w="4531"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4395"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00395450">
        <w:trPr>
          <w:trHeight w:val="71"/>
        </w:trPr>
        <w:tc>
          <w:tcPr>
            <w:tcW w:w="4531" w:type="dxa"/>
            <w:vAlign w:val="center"/>
          </w:tcPr>
          <w:p w14:paraId="2B4F2A8D" w14:textId="410442D8" w:rsidR="00333392" w:rsidRPr="00395450" w:rsidRDefault="00395450" w:rsidP="00040CB0">
            <w:pPr>
              <w:jc w:val="both"/>
              <w:rPr>
                <w:rFonts w:ascii="Aptos" w:hAnsi="Aptos" w:cs="Arial"/>
                <w:bCs/>
                <w:color w:val="000000" w:themeColor="text1"/>
                <w:sz w:val="20"/>
                <w:szCs w:val="20"/>
              </w:rPr>
            </w:pPr>
            <w:r w:rsidRPr="00395450">
              <w:rPr>
                <w:rFonts w:ascii="Aptos" w:hAnsi="Aptos" w:cs="Arial"/>
                <w:bCs/>
                <w:color w:val="000000" w:themeColor="text1"/>
                <w:sz w:val="20"/>
                <w:szCs w:val="20"/>
              </w:rPr>
              <w:t>Mininucleoviridae</w:t>
            </w:r>
          </w:p>
        </w:tc>
        <w:tc>
          <w:tcPr>
            <w:tcW w:w="4395" w:type="dxa"/>
            <w:vAlign w:val="center"/>
          </w:tcPr>
          <w:p w14:paraId="17202B3B" w14:textId="7C0A32D0" w:rsidR="00333392" w:rsidRPr="00395450" w:rsidRDefault="00395450" w:rsidP="00040CB0">
            <w:pPr>
              <w:jc w:val="both"/>
              <w:rPr>
                <w:rFonts w:ascii="Aptos" w:hAnsi="Aptos" w:cs="Arial"/>
                <w:bCs/>
                <w:i/>
                <w:iCs/>
                <w:color w:val="000000" w:themeColor="text1"/>
                <w:sz w:val="20"/>
                <w:szCs w:val="20"/>
              </w:rPr>
            </w:pPr>
            <w:r w:rsidRPr="00395450">
              <w:rPr>
                <w:rFonts w:ascii="Aptos" w:hAnsi="Aptos" w:cs="Arial"/>
                <w:bCs/>
                <w:color w:val="000000" w:themeColor="text1"/>
                <w:sz w:val="20"/>
                <w:szCs w:val="20"/>
              </w:rPr>
              <w:t xml:space="preserve">Named due to the small genomes and virion size relative to other members of the order </w:t>
            </w:r>
            <w:r w:rsidRPr="00395450">
              <w:rPr>
                <w:rFonts w:ascii="Aptos" w:hAnsi="Aptos" w:cs="Arial"/>
                <w:bCs/>
                <w:i/>
                <w:iCs/>
                <w:color w:val="000000" w:themeColor="text1"/>
                <w:sz w:val="20"/>
                <w:szCs w:val="20"/>
              </w:rPr>
              <w:t>Pimascovirales</w:t>
            </w:r>
          </w:p>
        </w:tc>
      </w:tr>
      <w:tr w:rsidR="00333392" w:rsidRPr="009F7856" w14:paraId="7AAF5EF0" w14:textId="77777777" w:rsidTr="00395450">
        <w:trPr>
          <w:trHeight w:val="71"/>
        </w:trPr>
        <w:tc>
          <w:tcPr>
            <w:tcW w:w="4531" w:type="dxa"/>
            <w:vAlign w:val="center"/>
          </w:tcPr>
          <w:p w14:paraId="24B2DC76" w14:textId="439C1B3F" w:rsidR="00333392" w:rsidRPr="00395450" w:rsidRDefault="00395450" w:rsidP="00040CB0">
            <w:pPr>
              <w:jc w:val="both"/>
              <w:rPr>
                <w:rFonts w:ascii="Aptos" w:hAnsi="Aptos" w:cs="Arial"/>
                <w:bCs/>
                <w:color w:val="000000" w:themeColor="text1"/>
                <w:sz w:val="20"/>
                <w:szCs w:val="20"/>
              </w:rPr>
            </w:pPr>
            <w:r w:rsidRPr="00395450">
              <w:rPr>
                <w:rFonts w:ascii="Aptos" w:hAnsi="Aptos" w:cs="Arial"/>
                <w:bCs/>
                <w:color w:val="000000" w:themeColor="text1"/>
                <w:sz w:val="20"/>
                <w:szCs w:val="20"/>
              </w:rPr>
              <w:t>Alphamininucleovirus</w:t>
            </w:r>
          </w:p>
        </w:tc>
        <w:tc>
          <w:tcPr>
            <w:tcW w:w="4395" w:type="dxa"/>
            <w:vAlign w:val="center"/>
          </w:tcPr>
          <w:p w14:paraId="7CC05CA7" w14:textId="5C70925A" w:rsidR="00333392" w:rsidRPr="00395450" w:rsidRDefault="00395450" w:rsidP="00040CB0">
            <w:pPr>
              <w:jc w:val="both"/>
              <w:rPr>
                <w:rFonts w:ascii="Aptos" w:hAnsi="Aptos" w:cs="Arial"/>
                <w:bCs/>
                <w:color w:val="000000" w:themeColor="text1"/>
                <w:sz w:val="20"/>
                <w:szCs w:val="20"/>
              </w:rPr>
            </w:pPr>
            <w:r w:rsidRPr="00395450">
              <w:rPr>
                <w:rFonts w:ascii="Aptos" w:hAnsi="Aptos" w:cs="Arial"/>
                <w:bCs/>
                <w:color w:val="000000" w:themeColor="text1"/>
                <w:sz w:val="20"/>
                <w:szCs w:val="20"/>
              </w:rPr>
              <w:t>Referring to the first genus in this new viral family</w:t>
            </w:r>
          </w:p>
        </w:tc>
      </w:tr>
      <w:tr w:rsidR="00FC2269" w:rsidRPr="009F7856" w14:paraId="1165141A" w14:textId="77777777" w:rsidTr="00395450">
        <w:trPr>
          <w:trHeight w:val="71"/>
        </w:trPr>
        <w:tc>
          <w:tcPr>
            <w:tcW w:w="4531" w:type="dxa"/>
            <w:vAlign w:val="center"/>
          </w:tcPr>
          <w:p w14:paraId="2D7AAFF0" w14:textId="25740049" w:rsidR="00FC2269" w:rsidRPr="00395450" w:rsidRDefault="00395450" w:rsidP="00040CB0">
            <w:pPr>
              <w:jc w:val="both"/>
              <w:rPr>
                <w:rFonts w:ascii="Aptos" w:hAnsi="Aptos" w:cs="Arial"/>
                <w:bCs/>
                <w:color w:val="000000" w:themeColor="text1"/>
                <w:sz w:val="20"/>
                <w:szCs w:val="20"/>
              </w:rPr>
            </w:pPr>
            <w:r w:rsidRPr="00395450">
              <w:rPr>
                <w:rFonts w:ascii="Aptos" w:hAnsi="Aptos" w:cs="Arial"/>
                <w:bCs/>
                <w:color w:val="000000" w:themeColor="text1"/>
                <w:sz w:val="20"/>
                <w:szCs w:val="20"/>
              </w:rPr>
              <w:t>Alphamininucleovirus dikhaemobaphidis</w:t>
            </w:r>
          </w:p>
        </w:tc>
        <w:tc>
          <w:tcPr>
            <w:tcW w:w="4395" w:type="dxa"/>
            <w:vAlign w:val="center"/>
          </w:tcPr>
          <w:p w14:paraId="56BC5065" w14:textId="2089EBF8" w:rsidR="00FC2269" w:rsidRPr="00395450" w:rsidRDefault="00395450" w:rsidP="00040CB0">
            <w:pPr>
              <w:jc w:val="both"/>
              <w:rPr>
                <w:rFonts w:ascii="Aptos" w:hAnsi="Aptos" w:cs="Arial"/>
                <w:bCs/>
                <w:i/>
                <w:iCs/>
                <w:color w:val="000000" w:themeColor="text1"/>
                <w:sz w:val="20"/>
                <w:szCs w:val="20"/>
              </w:rPr>
            </w:pPr>
            <w:r w:rsidRPr="00395450">
              <w:rPr>
                <w:rFonts w:ascii="Aptos" w:hAnsi="Aptos" w:cs="Arial"/>
                <w:bCs/>
                <w:color w:val="000000" w:themeColor="text1"/>
                <w:sz w:val="20"/>
                <w:szCs w:val="20"/>
              </w:rPr>
              <w:t xml:space="preserve">Species name derived from the host species, </w:t>
            </w:r>
            <w:r w:rsidRPr="00395450">
              <w:rPr>
                <w:rFonts w:ascii="Aptos" w:hAnsi="Aptos" w:cs="Arial"/>
                <w:bCs/>
                <w:i/>
                <w:iCs/>
                <w:color w:val="000000" w:themeColor="text1"/>
                <w:sz w:val="20"/>
                <w:szCs w:val="20"/>
              </w:rPr>
              <w:t>Dikerogammarus haemobaphes</w:t>
            </w:r>
          </w:p>
        </w:tc>
      </w:tr>
      <w:tr w:rsidR="00FC2269" w:rsidRPr="009F7856" w14:paraId="20245EE3" w14:textId="77777777" w:rsidTr="00395450">
        <w:trPr>
          <w:trHeight w:val="71"/>
        </w:trPr>
        <w:tc>
          <w:tcPr>
            <w:tcW w:w="4531" w:type="dxa"/>
            <w:vAlign w:val="center"/>
          </w:tcPr>
          <w:p w14:paraId="6DC0E204" w14:textId="4477D945" w:rsidR="00FC2269" w:rsidRPr="00395450" w:rsidRDefault="00395450" w:rsidP="00040CB0">
            <w:pPr>
              <w:jc w:val="both"/>
              <w:rPr>
                <w:rFonts w:ascii="Aptos" w:hAnsi="Aptos" w:cs="Arial"/>
                <w:bCs/>
                <w:color w:val="000000" w:themeColor="text1"/>
                <w:sz w:val="20"/>
                <w:szCs w:val="20"/>
              </w:rPr>
            </w:pPr>
            <w:r w:rsidRPr="00395450">
              <w:rPr>
                <w:rFonts w:ascii="Aptos" w:hAnsi="Aptos" w:cs="Arial"/>
                <w:bCs/>
                <w:color w:val="000000" w:themeColor="text1"/>
                <w:sz w:val="20"/>
                <w:szCs w:val="20"/>
              </w:rPr>
              <w:t>Alphamininucleovirus carmaneas</w:t>
            </w:r>
          </w:p>
        </w:tc>
        <w:tc>
          <w:tcPr>
            <w:tcW w:w="4395" w:type="dxa"/>
            <w:vAlign w:val="center"/>
          </w:tcPr>
          <w:p w14:paraId="1BAB929D" w14:textId="21B8A6CA" w:rsidR="00FC2269" w:rsidRPr="00395450" w:rsidRDefault="00395450" w:rsidP="00040CB0">
            <w:pPr>
              <w:jc w:val="both"/>
              <w:rPr>
                <w:rFonts w:ascii="Aptos" w:hAnsi="Aptos" w:cs="Arial"/>
                <w:bCs/>
                <w:i/>
                <w:iCs/>
                <w:color w:val="000000" w:themeColor="text1"/>
                <w:sz w:val="20"/>
                <w:szCs w:val="20"/>
              </w:rPr>
            </w:pPr>
            <w:r w:rsidRPr="00395450">
              <w:rPr>
                <w:rFonts w:ascii="Aptos" w:hAnsi="Aptos" w:cs="Arial"/>
                <w:bCs/>
                <w:color w:val="000000" w:themeColor="text1"/>
                <w:sz w:val="20"/>
                <w:szCs w:val="20"/>
              </w:rPr>
              <w:t xml:space="preserve">Species name derived from the host species, </w:t>
            </w:r>
            <w:r w:rsidRPr="00395450">
              <w:rPr>
                <w:rFonts w:ascii="Aptos" w:hAnsi="Aptos" w:cs="Arial"/>
                <w:bCs/>
                <w:i/>
                <w:iCs/>
                <w:color w:val="000000" w:themeColor="text1"/>
                <w:sz w:val="20"/>
                <w:szCs w:val="20"/>
              </w:rPr>
              <w:t>Carcinus maenas</w:t>
            </w:r>
          </w:p>
        </w:tc>
      </w:tr>
      <w:tr w:rsidR="00395450" w:rsidRPr="009F7856" w14:paraId="576E601D" w14:textId="77777777" w:rsidTr="00395450">
        <w:trPr>
          <w:trHeight w:val="71"/>
        </w:trPr>
        <w:tc>
          <w:tcPr>
            <w:tcW w:w="4531" w:type="dxa"/>
            <w:vAlign w:val="center"/>
          </w:tcPr>
          <w:p w14:paraId="103EB913" w14:textId="314F12D5" w:rsidR="00395450" w:rsidRPr="00395450" w:rsidRDefault="00395450" w:rsidP="00040CB0">
            <w:pPr>
              <w:jc w:val="both"/>
              <w:rPr>
                <w:rFonts w:ascii="Aptos" w:hAnsi="Aptos" w:cs="Arial"/>
                <w:bCs/>
                <w:color w:val="000000" w:themeColor="text1"/>
                <w:sz w:val="20"/>
                <w:szCs w:val="20"/>
              </w:rPr>
            </w:pPr>
            <w:r w:rsidRPr="00395450">
              <w:rPr>
                <w:rFonts w:ascii="Aptos" w:hAnsi="Aptos" w:cs="Arial"/>
                <w:bCs/>
                <w:color w:val="000000" w:themeColor="text1"/>
                <w:sz w:val="20"/>
                <w:szCs w:val="20"/>
              </w:rPr>
              <w:t>Alphamininucleovirus pavonealbus</w:t>
            </w:r>
          </w:p>
        </w:tc>
        <w:tc>
          <w:tcPr>
            <w:tcW w:w="4395" w:type="dxa"/>
            <w:vAlign w:val="center"/>
          </w:tcPr>
          <w:p w14:paraId="514ECF2A" w14:textId="61EA72A3" w:rsidR="00395450" w:rsidRPr="00370AFC" w:rsidRDefault="00395450" w:rsidP="00370AFC">
            <w:pPr>
              <w:rPr>
                <w:rFonts w:ascii="Aptos" w:hAnsi="Aptos" w:cs="Arial"/>
                <w:bCs/>
                <w:iCs/>
                <w:sz w:val="20"/>
                <w:szCs w:val="20"/>
              </w:rPr>
            </w:pPr>
            <w:r w:rsidRPr="00395450">
              <w:rPr>
                <w:rFonts w:ascii="Aptos" w:hAnsi="Aptos" w:cs="Arial"/>
                <w:bCs/>
                <w:iCs/>
                <w:sz w:val="20"/>
                <w:szCs w:val="20"/>
              </w:rPr>
              <w:t>pavonealbus is based on the original virus Panulirus argus Virus 1 (</w:t>
            </w:r>
            <w:r w:rsidRPr="00395450">
              <w:rPr>
                <w:rFonts w:ascii="Aptos" w:hAnsi="Aptos" w:cs="Arial"/>
                <w:bCs/>
                <w:iCs/>
                <w:sz w:val="20"/>
                <w:szCs w:val="20"/>
                <w:u w:val="single"/>
              </w:rPr>
              <w:t>PaV1</w:t>
            </w:r>
            <w:r w:rsidRPr="00395450">
              <w:rPr>
                <w:rFonts w:ascii="Aptos" w:hAnsi="Aptos" w:cs="Arial"/>
                <w:bCs/>
                <w:iCs/>
                <w:sz w:val="20"/>
                <w:szCs w:val="20"/>
              </w:rPr>
              <w:t>) that was found in 2004, followed by ‘albus’, referring to the white colour of the haemolymph when the lobster host is infected.</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5E6481E2"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50D79DC8"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41A2E376" w:rsidR="00A77B8E" w:rsidRDefault="00A77B8E" w:rsidP="00E92794">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p>
          <w:p w14:paraId="32B5F2E1" w14:textId="77777777" w:rsidR="00A77B8E" w:rsidRPr="00BE4F5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548AECB0" w14:textId="70B73F43" w:rsidR="00FC2269" w:rsidRPr="00BE4F5A" w:rsidRDefault="00395450" w:rsidP="00DD58AA">
            <w:pPr>
              <w:rPr>
                <w:rFonts w:ascii="Aptos" w:hAnsi="Aptos" w:cs="Arial"/>
                <w:sz w:val="20"/>
                <w:szCs w:val="20"/>
              </w:rPr>
            </w:pPr>
            <w:r>
              <w:rPr>
                <w:rFonts w:ascii="Aptos" w:hAnsi="Aptos" w:cs="Arial"/>
                <w:sz w:val="20"/>
                <w:szCs w:val="20"/>
              </w:rPr>
              <w:t xml:space="preserve">Currently, the mininucleoviruses of crustaceans are not formally </w:t>
            </w:r>
            <w:r w:rsidR="00334462">
              <w:rPr>
                <w:rFonts w:ascii="Aptos" w:hAnsi="Aptos" w:cs="Arial"/>
                <w:sz w:val="20"/>
                <w:szCs w:val="20"/>
              </w:rPr>
              <w:t>classified</w:t>
            </w:r>
            <w:r>
              <w:rPr>
                <w:rFonts w:ascii="Aptos" w:hAnsi="Aptos" w:cs="Arial"/>
                <w:sz w:val="20"/>
                <w:szCs w:val="20"/>
              </w:rPr>
              <w:t>, but appear to phylogenetically group as a sister to the</w:t>
            </w:r>
            <w:r w:rsidR="00334462">
              <w:rPr>
                <w:rFonts w:ascii="Aptos" w:hAnsi="Aptos" w:cs="Arial"/>
                <w:sz w:val="20"/>
                <w:szCs w:val="20"/>
              </w:rPr>
              <w:t xml:space="preserve"> members of the families</w:t>
            </w:r>
            <w:r>
              <w:rPr>
                <w:rFonts w:ascii="Aptos" w:hAnsi="Aptos" w:cs="Arial"/>
                <w:sz w:val="20"/>
                <w:szCs w:val="20"/>
              </w:rPr>
              <w:t xml:space="preserve"> </w:t>
            </w:r>
            <w:r>
              <w:rPr>
                <w:rFonts w:ascii="Aptos" w:hAnsi="Aptos" w:cs="Arial"/>
                <w:i/>
                <w:iCs/>
                <w:sz w:val="20"/>
                <w:szCs w:val="20"/>
              </w:rPr>
              <w:t>Iridoviridae</w:t>
            </w:r>
            <w:r>
              <w:rPr>
                <w:rFonts w:ascii="Aptos" w:hAnsi="Aptos" w:cs="Arial"/>
                <w:sz w:val="20"/>
                <w:szCs w:val="20"/>
              </w:rPr>
              <w:t xml:space="preserve"> and </w:t>
            </w:r>
            <w:r>
              <w:rPr>
                <w:rFonts w:ascii="Aptos" w:hAnsi="Aptos" w:cs="Arial"/>
                <w:i/>
                <w:iCs/>
                <w:sz w:val="20"/>
                <w:szCs w:val="20"/>
              </w:rPr>
              <w:t>Ascoviridae</w:t>
            </w:r>
            <w:r>
              <w:rPr>
                <w:rFonts w:ascii="Aptos" w:hAnsi="Aptos" w:cs="Arial"/>
                <w:sz w:val="20"/>
                <w:szCs w:val="20"/>
              </w:rPr>
              <w:t xml:space="preserve">. These formal families are included in the formal order, </w:t>
            </w:r>
            <w:r>
              <w:rPr>
                <w:rFonts w:ascii="Aptos" w:hAnsi="Aptos" w:cs="Arial"/>
                <w:i/>
                <w:iCs/>
                <w:sz w:val="20"/>
                <w:szCs w:val="20"/>
              </w:rPr>
              <w:t>Pimas</w:t>
            </w:r>
            <w:r w:rsidR="00F46E48">
              <w:rPr>
                <w:rFonts w:ascii="Aptos" w:hAnsi="Aptos" w:cs="Arial"/>
                <w:i/>
                <w:iCs/>
                <w:sz w:val="20"/>
                <w:szCs w:val="20"/>
              </w:rPr>
              <w:t>covirales</w:t>
            </w:r>
            <w:r w:rsidR="00F46E48">
              <w:rPr>
                <w:rFonts w:ascii="Aptos" w:hAnsi="Aptos" w:cs="Arial"/>
                <w:sz w:val="20"/>
                <w:szCs w:val="20"/>
              </w:rPr>
              <w:t xml:space="preserve">. </w:t>
            </w:r>
          </w:p>
          <w:p w14:paraId="1321FC18" w14:textId="77777777" w:rsidR="00A77B8E" w:rsidRPr="00BE4F5A" w:rsidRDefault="00A77B8E" w:rsidP="00DD58AA">
            <w:pPr>
              <w:rPr>
                <w:rFonts w:ascii="Aptos" w:hAnsi="Aptos" w:cs="Arial"/>
                <w:sz w:val="20"/>
                <w:szCs w:val="20"/>
              </w:rPr>
            </w:pPr>
          </w:p>
          <w:p w14:paraId="19D0D4AD" w14:textId="77777777"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7B7BADE9" w14:textId="7CC7699B" w:rsidR="00A77B8E" w:rsidRPr="00BE4F5A" w:rsidRDefault="00F46E48" w:rsidP="00DD58AA">
            <w:pPr>
              <w:rPr>
                <w:rFonts w:ascii="Aptos" w:hAnsi="Aptos" w:cs="Arial"/>
                <w:sz w:val="20"/>
                <w:szCs w:val="20"/>
              </w:rPr>
            </w:pPr>
            <w:r>
              <w:rPr>
                <w:rFonts w:ascii="Aptos" w:hAnsi="Aptos" w:cs="Arial"/>
                <w:sz w:val="20"/>
                <w:szCs w:val="20"/>
              </w:rPr>
              <w:t xml:space="preserve">We propose to formalize the family, Mininucleoviridae, which was first coined by Subramaniam et al. (2020). This new family contains a single genus – Alphamininucleovirus, which contains three newly designated species, which are based on complete viral genomes with accompanying morphological and pathological information. </w:t>
            </w:r>
          </w:p>
          <w:p w14:paraId="52CBC545" w14:textId="70A70EF3" w:rsidR="00A77B8E" w:rsidRDefault="00A77B8E" w:rsidP="00DD58AA">
            <w:pPr>
              <w:rPr>
                <w:rFonts w:ascii="Aptos" w:hAnsi="Aptos" w:cs="Arial"/>
                <w:sz w:val="20"/>
                <w:szCs w:val="20"/>
              </w:rPr>
            </w:pPr>
          </w:p>
          <w:p w14:paraId="53F57983" w14:textId="1B297820" w:rsidR="00FC2269" w:rsidRPr="006F33B7" w:rsidRDefault="006F33B7" w:rsidP="00DD58AA">
            <w:pPr>
              <w:rPr>
                <w:rFonts w:ascii="Aptos" w:hAnsi="Aptos" w:cs="Arial"/>
                <w:i/>
                <w:iCs/>
                <w:sz w:val="20"/>
                <w:szCs w:val="20"/>
              </w:rPr>
            </w:pPr>
            <w:r>
              <w:rPr>
                <w:rFonts w:ascii="Aptos" w:hAnsi="Aptos" w:cs="Arial"/>
                <w:i/>
                <w:iCs/>
                <w:sz w:val="20"/>
                <w:szCs w:val="20"/>
              </w:rPr>
              <w:t xml:space="preserve">Demarcation criteria for new </w:t>
            </w:r>
            <w:r w:rsidR="00E92794">
              <w:rPr>
                <w:rFonts w:ascii="Aptos" w:hAnsi="Aptos" w:cs="Arial"/>
                <w:i/>
                <w:iCs/>
                <w:sz w:val="20"/>
                <w:szCs w:val="20"/>
              </w:rPr>
              <w:t>taxon/</w:t>
            </w:r>
            <w:r>
              <w:rPr>
                <w:rFonts w:ascii="Aptos" w:hAnsi="Aptos" w:cs="Arial"/>
                <w:i/>
                <w:iCs/>
                <w:sz w:val="20"/>
                <w:szCs w:val="20"/>
              </w:rPr>
              <w:t>tax</w:t>
            </w:r>
            <w:r w:rsidR="00E92794">
              <w:rPr>
                <w:rFonts w:ascii="Aptos" w:hAnsi="Aptos" w:cs="Arial"/>
                <w:i/>
                <w:iCs/>
                <w:sz w:val="20"/>
                <w:szCs w:val="20"/>
              </w:rPr>
              <w:t>a:</w:t>
            </w:r>
          </w:p>
          <w:p w14:paraId="089EB396" w14:textId="0DE539DE" w:rsidR="006F33B7" w:rsidRDefault="00F46E48" w:rsidP="00DD58AA">
            <w:pPr>
              <w:rPr>
                <w:rFonts w:ascii="Aptos" w:hAnsi="Aptos" w:cs="Arial"/>
                <w:sz w:val="20"/>
                <w:szCs w:val="20"/>
              </w:rPr>
            </w:pPr>
            <w:r>
              <w:rPr>
                <w:rFonts w:ascii="Aptos" w:hAnsi="Aptos" w:cs="Arial"/>
                <w:sz w:val="20"/>
                <w:szCs w:val="20"/>
              </w:rPr>
              <w:t xml:space="preserve">Four taxa are known of that could be included in the new viral family; however, only three have complete genomes available to support formalization. Inclusion in the Mininucleoviridae family and Alphamininucleovirus genus should be supported by phylogenetic clustering with emphasis on the PaV1 isolate. Using protein similarity as a basis for intra-familial demarcation, we suggest that a minimum protein similarity for the most conserved protein sequence (RPB2) be set at 40%. </w:t>
            </w:r>
            <w:r w:rsidR="00A6309D">
              <w:rPr>
                <w:rFonts w:ascii="Aptos" w:hAnsi="Aptos" w:cs="Arial"/>
                <w:sz w:val="20"/>
                <w:szCs w:val="20"/>
              </w:rPr>
              <w:t>Inclusion in the three designated species (</w:t>
            </w:r>
            <w:r w:rsidR="00A6309D" w:rsidRPr="00395450">
              <w:rPr>
                <w:rFonts w:ascii="Aptos" w:hAnsi="Aptos" w:cs="Arial"/>
                <w:bCs/>
                <w:color w:val="000000" w:themeColor="text1"/>
                <w:sz w:val="20"/>
                <w:szCs w:val="20"/>
              </w:rPr>
              <w:t>Alphamininucleovirus pavonealbus</w:t>
            </w:r>
            <w:r w:rsidR="00A6309D">
              <w:rPr>
                <w:rFonts w:ascii="Aptos" w:hAnsi="Aptos" w:cs="Arial"/>
                <w:bCs/>
                <w:color w:val="000000" w:themeColor="text1"/>
                <w:sz w:val="20"/>
                <w:szCs w:val="20"/>
              </w:rPr>
              <w:t xml:space="preserve">, </w:t>
            </w:r>
            <w:r w:rsidR="00A6309D" w:rsidRPr="00395450">
              <w:rPr>
                <w:rFonts w:ascii="Aptos" w:hAnsi="Aptos" w:cs="Arial"/>
                <w:bCs/>
                <w:color w:val="000000" w:themeColor="text1"/>
                <w:sz w:val="20"/>
                <w:szCs w:val="20"/>
              </w:rPr>
              <w:t>Alphamininucleovirus carmaneas</w:t>
            </w:r>
            <w:r w:rsidR="00A6309D">
              <w:rPr>
                <w:rFonts w:ascii="Aptos" w:hAnsi="Aptos" w:cs="Arial"/>
                <w:bCs/>
                <w:color w:val="000000" w:themeColor="text1"/>
                <w:sz w:val="20"/>
                <w:szCs w:val="20"/>
              </w:rPr>
              <w:t xml:space="preserve">, </w:t>
            </w:r>
            <w:r w:rsidR="00A6309D" w:rsidRPr="00395450">
              <w:rPr>
                <w:rFonts w:ascii="Aptos" w:hAnsi="Aptos" w:cs="Arial"/>
                <w:bCs/>
                <w:color w:val="000000" w:themeColor="text1"/>
                <w:sz w:val="20"/>
                <w:szCs w:val="20"/>
              </w:rPr>
              <w:t>Alphamininucleovirus dikhaemobaphidis</w:t>
            </w:r>
            <w:r w:rsidR="00A6309D">
              <w:rPr>
                <w:rFonts w:ascii="Aptos" w:hAnsi="Aptos" w:cs="Arial"/>
                <w:sz w:val="20"/>
                <w:szCs w:val="20"/>
              </w:rPr>
              <w:t>) should be based on 90% protein similarity when comparing the RPB2.</w:t>
            </w:r>
          </w:p>
          <w:p w14:paraId="2ACDA6C0" w14:textId="77777777" w:rsidR="006F33B7" w:rsidRPr="00BE4F5A" w:rsidRDefault="006F33B7" w:rsidP="00DD58AA">
            <w:pPr>
              <w:rPr>
                <w:rFonts w:ascii="Aptos" w:hAnsi="Aptos" w:cs="Arial"/>
                <w:sz w:val="20"/>
                <w:szCs w:val="20"/>
              </w:rPr>
            </w:pPr>
          </w:p>
          <w:p w14:paraId="34A7845C" w14:textId="26CE90E8" w:rsidR="00A77B8E" w:rsidRDefault="00A77B8E" w:rsidP="00F46E48">
            <w:pPr>
              <w:pStyle w:val="BodyTextIndent"/>
              <w:ind w:left="0" w:firstLine="0"/>
              <w:rPr>
                <w:rFonts w:ascii="Aptos" w:hAnsi="Aptos" w:cs="Arial"/>
                <w:sz w:val="20"/>
              </w:rPr>
            </w:pPr>
            <w:r w:rsidRPr="00BE4F5A">
              <w:rPr>
                <w:rFonts w:ascii="Aptos" w:hAnsi="Aptos" w:cs="Arial"/>
                <w:i/>
                <w:sz w:val="20"/>
              </w:rPr>
              <w:t>Justification</w:t>
            </w:r>
            <w:r w:rsidRPr="00BE4F5A">
              <w:rPr>
                <w:rFonts w:ascii="Aptos" w:hAnsi="Aptos" w:cs="Arial"/>
                <w:sz w:val="20"/>
              </w:rPr>
              <w:t>:</w:t>
            </w:r>
          </w:p>
          <w:p w14:paraId="4235F0D5" w14:textId="77777777" w:rsidR="00334462" w:rsidRPr="009859C2" w:rsidRDefault="00334462" w:rsidP="00334462">
            <w:pPr>
              <w:pStyle w:val="BodyTextIndent"/>
              <w:ind w:left="0" w:firstLine="0"/>
              <w:rPr>
                <w:rFonts w:ascii="Aptos" w:hAnsi="Aptos" w:cs="Arial"/>
                <w:color w:val="0000FF"/>
                <w:sz w:val="20"/>
              </w:rPr>
            </w:pPr>
            <w:r>
              <w:rPr>
                <w:rFonts w:ascii="Aptos" w:hAnsi="Aptos" w:cs="Arial"/>
                <w:sz w:val="20"/>
              </w:rPr>
              <w:t>The new viruses (PaV1, CmV1, DhV1) h</w:t>
            </w:r>
            <w:r w:rsidRPr="00B01C16">
              <w:rPr>
                <w:rFonts w:ascii="Aptos" w:hAnsi="Aptos" w:cs="Arial"/>
                <w:sz w:val="20"/>
              </w:rPr>
              <w:t>ave genome</w:t>
            </w:r>
            <w:r>
              <w:rPr>
                <w:rFonts w:ascii="Aptos" w:hAnsi="Aptos" w:cs="Arial"/>
                <w:sz w:val="20"/>
              </w:rPr>
              <w:t xml:space="preserve"> </w:t>
            </w:r>
            <w:r w:rsidRPr="00B01C16">
              <w:rPr>
                <w:rFonts w:ascii="Aptos" w:hAnsi="Aptos" w:cs="Arial"/>
                <w:sz w:val="20"/>
              </w:rPr>
              <w:t>s</w:t>
            </w:r>
            <w:r>
              <w:rPr>
                <w:rFonts w:ascii="Aptos" w:hAnsi="Aptos" w:cs="Arial"/>
                <w:sz w:val="20"/>
              </w:rPr>
              <w:t>izes</w:t>
            </w:r>
            <w:r w:rsidRPr="00B01C16">
              <w:rPr>
                <w:rFonts w:ascii="Aptos" w:hAnsi="Aptos" w:cs="Arial"/>
                <w:sz w:val="20"/>
              </w:rPr>
              <w:t xml:space="preserve"> of 70,886 bp, 73,581 bp, and 66,929 bp, with 61, 61, and 62 predicted protein-coding genes, respectively</w:t>
            </w:r>
            <w:r>
              <w:rPr>
                <w:rFonts w:ascii="Aptos" w:hAnsi="Aptos" w:cs="Arial"/>
                <w:sz w:val="20"/>
              </w:rPr>
              <w:t xml:space="preserve"> (Fig. 1)</w:t>
            </w:r>
            <w:r w:rsidRPr="00B01C16">
              <w:rPr>
                <w:rFonts w:ascii="Aptos" w:hAnsi="Aptos" w:cs="Arial"/>
                <w:sz w:val="20"/>
              </w:rPr>
              <w:t>.</w:t>
            </w:r>
            <w:r>
              <w:rPr>
                <w:rFonts w:ascii="Aptos" w:hAnsi="Aptos" w:cs="Arial"/>
                <w:sz w:val="20"/>
              </w:rPr>
              <w:t xml:space="preserve"> Figures presented in Subramaniam et al. (2020) represent the support of a new family, genus, and three species, highlighting an initial understanding of their phylogenetic position, gene synteny, and genome size relative to other members of the </w:t>
            </w:r>
            <w:r>
              <w:rPr>
                <w:rFonts w:ascii="Aptos" w:hAnsi="Aptos" w:cs="Arial"/>
                <w:i/>
                <w:iCs/>
                <w:sz w:val="20"/>
              </w:rPr>
              <w:t>Nucleocytoviricota</w:t>
            </w:r>
            <w:r>
              <w:rPr>
                <w:rFonts w:ascii="Aptos" w:hAnsi="Aptos" w:cs="Arial"/>
                <w:sz w:val="20"/>
              </w:rPr>
              <w:t xml:space="preserve">. Using the conserved </w:t>
            </w:r>
            <w:r w:rsidRPr="009859C2">
              <w:rPr>
                <w:rFonts w:ascii="Aptos" w:hAnsi="Aptos" w:cs="Arial"/>
                <w:sz w:val="20"/>
              </w:rPr>
              <w:t>DNA-dependent RNA polymerase subunit RPB2</w:t>
            </w:r>
            <w:r>
              <w:rPr>
                <w:rFonts w:ascii="Aptos" w:hAnsi="Aptos" w:cs="Arial"/>
                <w:sz w:val="20"/>
              </w:rPr>
              <w:t xml:space="preserve">, a sequence similarity plot highlights the difference between the four known viruses (Fig. 2), with the fourth mined from a transcriptomic dataset derived from </w:t>
            </w:r>
            <w:r>
              <w:rPr>
                <w:rFonts w:ascii="Aptos" w:hAnsi="Aptos" w:cs="Arial"/>
                <w:i/>
                <w:iCs/>
                <w:sz w:val="20"/>
              </w:rPr>
              <w:t>Gammarus lacustris</w:t>
            </w:r>
            <w:r>
              <w:rPr>
                <w:rFonts w:ascii="Aptos" w:hAnsi="Aptos" w:cs="Arial"/>
                <w:sz w:val="20"/>
              </w:rPr>
              <w:t>, and is termed ‘Gammarus lacustris mininucleovirus 1’ (GlV1). This virus is incomplete and not included for formalization, but we have included it in the analysis for clarity. The original phylogenetic tree and caption are available in the Figure 3, from the open access publication (Subramaniam et al. 2020).</w:t>
            </w:r>
          </w:p>
          <w:p w14:paraId="085F1253" w14:textId="77777777" w:rsidR="00334462" w:rsidRDefault="00334462" w:rsidP="00DD58AA">
            <w:pPr>
              <w:rPr>
                <w:rFonts w:ascii="Aptos" w:hAnsi="Aptos" w:cs="Arial"/>
                <w:color w:val="0000FF"/>
                <w:sz w:val="20"/>
                <w:szCs w:val="20"/>
              </w:rPr>
            </w:pP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4ECF6668" w14:textId="67C8C6E4" w:rsidR="00A77B8E" w:rsidRDefault="00A77B8E" w:rsidP="00CC5DB1">
            <w:pPr>
              <w:pStyle w:val="BodyTextIndent"/>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00A77B8E">
        <w:tc>
          <w:tcPr>
            <w:tcW w:w="8926" w:type="dxa"/>
          </w:tcPr>
          <w:p w14:paraId="49680848" w14:textId="77777777" w:rsidR="00A77B8E" w:rsidRDefault="00A77B8E" w:rsidP="00DD58AA">
            <w:pPr>
              <w:rPr>
                <w:rFonts w:ascii="Aptos" w:hAnsi="Aptos" w:cs="Arial"/>
                <w:b/>
                <w:i/>
                <w:sz w:val="20"/>
                <w:szCs w:val="20"/>
              </w:rPr>
            </w:pPr>
          </w:p>
          <w:p w14:paraId="3CFC08CF" w14:textId="77777777" w:rsidR="00A77B8E" w:rsidRPr="00BE4F5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05F683E7" w14:textId="6C65F6EC" w:rsidR="00A6309D" w:rsidRDefault="00A6309D" w:rsidP="00A6309D">
            <w:pPr>
              <w:rPr>
                <w:rFonts w:ascii="Aptos" w:hAnsi="Aptos" w:cs="Arial"/>
                <w:sz w:val="20"/>
                <w:szCs w:val="20"/>
              </w:rPr>
            </w:pPr>
            <w:r>
              <w:rPr>
                <w:rFonts w:ascii="Aptos" w:hAnsi="Aptos" w:cs="Arial"/>
                <w:sz w:val="20"/>
                <w:szCs w:val="20"/>
              </w:rPr>
              <w:t xml:space="preserve">Currently, the mininucleoviruses of crustaceans are not formally housed in the ICTV taxonomy, but appear to phylogenetically group as a sister </w:t>
            </w:r>
            <w:r w:rsidR="001A560E">
              <w:rPr>
                <w:rFonts w:ascii="Aptos" w:hAnsi="Aptos" w:cs="Arial"/>
                <w:sz w:val="20"/>
                <w:szCs w:val="20"/>
              </w:rPr>
              <w:t xml:space="preserve">family </w:t>
            </w:r>
            <w:r>
              <w:rPr>
                <w:rFonts w:ascii="Aptos" w:hAnsi="Aptos" w:cs="Arial"/>
                <w:sz w:val="20"/>
                <w:szCs w:val="20"/>
              </w:rPr>
              <w:t xml:space="preserve">to the </w:t>
            </w:r>
            <w:r>
              <w:rPr>
                <w:rFonts w:ascii="Aptos" w:hAnsi="Aptos" w:cs="Arial"/>
                <w:i/>
                <w:iCs/>
                <w:sz w:val="20"/>
                <w:szCs w:val="20"/>
              </w:rPr>
              <w:t>Iridoviridae</w:t>
            </w:r>
            <w:r w:rsidR="001A560E">
              <w:rPr>
                <w:rFonts w:ascii="Aptos" w:hAnsi="Aptos" w:cs="Arial"/>
                <w:i/>
                <w:iCs/>
                <w:sz w:val="20"/>
                <w:szCs w:val="20"/>
              </w:rPr>
              <w:t xml:space="preserve">, </w:t>
            </w:r>
            <w:r>
              <w:rPr>
                <w:rFonts w:ascii="Aptos" w:hAnsi="Aptos" w:cs="Arial"/>
                <w:sz w:val="20"/>
                <w:szCs w:val="20"/>
              </w:rPr>
              <w:t xml:space="preserve"> </w:t>
            </w:r>
            <w:r>
              <w:rPr>
                <w:rFonts w:ascii="Aptos" w:hAnsi="Aptos" w:cs="Arial"/>
                <w:i/>
                <w:iCs/>
                <w:sz w:val="20"/>
                <w:szCs w:val="20"/>
              </w:rPr>
              <w:t>Ascoviridae</w:t>
            </w:r>
            <w:r w:rsidR="001A560E">
              <w:rPr>
                <w:rFonts w:ascii="Aptos" w:hAnsi="Aptos" w:cs="Arial"/>
                <w:i/>
                <w:iCs/>
                <w:sz w:val="20"/>
                <w:szCs w:val="20"/>
              </w:rPr>
              <w:t xml:space="preserve"> </w:t>
            </w:r>
            <w:r w:rsidR="001A560E">
              <w:rPr>
                <w:rFonts w:ascii="Aptos" w:hAnsi="Aptos" w:cs="Arial"/>
                <w:sz w:val="20"/>
                <w:szCs w:val="20"/>
              </w:rPr>
              <w:t xml:space="preserve">and </w:t>
            </w:r>
            <w:r w:rsidR="001A560E">
              <w:rPr>
                <w:rFonts w:ascii="Aptos" w:hAnsi="Aptos" w:cs="Arial"/>
                <w:i/>
                <w:iCs/>
                <w:sz w:val="20"/>
                <w:szCs w:val="20"/>
              </w:rPr>
              <w:t>Marseilleviridae</w:t>
            </w:r>
            <w:r>
              <w:rPr>
                <w:rFonts w:ascii="Aptos" w:hAnsi="Aptos" w:cs="Arial"/>
                <w:sz w:val="20"/>
                <w:szCs w:val="20"/>
              </w:rPr>
              <w:t>. These formal families are included in the formal</w:t>
            </w:r>
            <w:r w:rsidR="001A560E">
              <w:rPr>
                <w:rFonts w:ascii="Aptos" w:hAnsi="Aptos" w:cs="Arial"/>
                <w:sz w:val="20"/>
                <w:szCs w:val="20"/>
              </w:rPr>
              <w:t>ised</w:t>
            </w:r>
            <w:r>
              <w:rPr>
                <w:rFonts w:ascii="Aptos" w:hAnsi="Aptos" w:cs="Arial"/>
                <w:sz w:val="20"/>
                <w:szCs w:val="20"/>
              </w:rPr>
              <w:t xml:space="preserve"> order, </w:t>
            </w:r>
            <w:r>
              <w:rPr>
                <w:rFonts w:ascii="Aptos" w:hAnsi="Aptos" w:cs="Arial"/>
                <w:i/>
                <w:iCs/>
                <w:sz w:val="20"/>
                <w:szCs w:val="20"/>
              </w:rPr>
              <w:t>Pimascovirales</w:t>
            </w:r>
            <w:r>
              <w:rPr>
                <w:rFonts w:ascii="Aptos" w:hAnsi="Aptos" w:cs="Arial"/>
                <w:sz w:val="20"/>
                <w:szCs w:val="20"/>
              </w:rPr>
              <w:t xml:space="preserve">. </w:t>
            </w:r>
            <w:r w:rsidR="001A560E">
              <w:rPr>
                <w:rFonts w:ascii="Aptos" w:hAnsi="Aptos" w:cs="Arial"/>
                <w:sz w:val="20"/>
                <w:szCs w:val="20"/>
              </w:rPr>
              <w:t>Three viral isolates have complete genomic data available (Subramaniam et al. 2020) and a fourth isolate has been defined using transcriptomic data (Burgess and Bojko, 2024), but is not considered for formalization in this report.</w:t>
            </w:r>
          </w:p>
          <w:p w14:paraId="52ECA244" w14:textId="77777777" w:rsidR="00334462" w:rsidRDefault="00334462" w:rsidP="00A6309D">
            <w:pPr>
              <w:rPr>
                <w:rFonts w:ascii="Aptos" w:hAnsi="Aptos" w:cs="Arial"/>
                <w:sz w:val="20"/>
                <w:szCs w:val="20"/>
              </w:rPr>
            </w:pPr>
          </w:p>
          <w:p w14:paraId="07EC2EC2" w14:textId="77777777"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0DED2181" w14:textId="1B61EB7D" w:rsidR="00A6309D" w:rsidRDefault="00A6309D" w:rsidP="00A6309D">
            <w:pPr>
              <w:rPr>
                <w:rFonts w:ascii="Aptos" w:hAnsi="Aptos" w:cs="Arial"/>
                <w:sz w:val="20"/>
                <w:szCs w:val="20"/>
              </w:rPr>
            </w:pPr>
            <w:r>
              <w:rPr>
                <w:rFonts w:ascii="Aptos" w:hAnsi="Aptos" w:cs="Arial"/>
                <w:sz w:val="20"/>
                <w:szCs w:val="20"/>
              </w:rPr>
              <w:t>We propose to formalize the family, Mininucleoviridae, which was first coined by Subramaniam et al. (2020). This new family contains a single genus – Alphamininucleovirus, which contains three newly designated species (</w:t>
            </w:r>
            <w:r w:rsidRPr="00395450">
              <w:rPr>
                <w:rFonts w:ascii="Aptos" w:hAnsi="Aptos" w:cs="Arial"/>
                <w:bCs/>
                <w:color w:val="000000" w:themeColor="text1"/>
                <w:sz w:val="20"/>
                <w:szCs w:val="20"/>
              </w:rPr>
              <w:t>Alphamininucleovirus pavonealbus</w:t>
            </w:r>
            <w:r>
              <w:rPr>
                <w:rFonts w:ascii="Aptos" w:hAnsi="Aptos" w:cs="Arial"/>
                <w:bCs/>
                <w:color w:val="000000" w:themeColor="text1"/>
                <w:sz w:val="20"/>
                <w:szCs w:val="20"/>
              </w:rPr>
              <w:t xml:space="preserve">, </w:t>
            </w:r>
            <w:r w:rsidRPr="00395450">
              <w:rPr>
                <w:rFonts w:ascii="Aptos" w:hAnsi="Aptos" w:cs="Arial"/>
                <w:bCs/>
                <w:color w:val="000000" w:themeColor="text1"/>
                <w:sz w:val="20"/>
                <w:szCs w:val="20"/>
              </w:rPr>
              <w:t>Alphamininucleovirus carmaneas</w:t>
            </w:r>
            <w:r>
              <w:rPr>
                <w:rFonts w:ascii="Aptos" w:hAnsi="Aptos" w:cs="Arial"/>
                <w:bCs/>
                <w:color w:val="000000" w:themeColor="text1"/>
                <w:sz w:val="20"/>
                <w:szCs w:val="20"/>
              </w:rPr>
              <w:t xml:space="preserve">, </w:t>
            </w:r>
            <w:r w:rsidRPr="00395450">
              <w:rPr>
                <w:rFonts w:ascii="Aptos" w:hAnsi="Aptos" w:cs="Arial"/>
                <w:bCs/>
                <w:color w:val="000000" w:themeColor="text1"/>
                <w:sz w:val="20"/>
                <w:szCs w:val="20"/>
              </w:rPr>
              <w:t>Alphamininucleovirus dikhaemobaphidis</w:t>
            </w:r>
            <w:r>
              <w:rPr>
                <w:rFonts w:ascii="Aptos" w:hAnsi="Aptos" w:cs="Arial"/>
                <w:sz w:val="20"/>
                <w:szCs w:val="20"/>
              </w:rPr>
              <w:t xml:space="preserve">), based on complete viral genomes with accompanying morphological and pathological information. This family is phylogenetically positioned within the order, </w:t>
            </w:r>
            <w:r>
              <w:rPr>
                <w:rFonts w:ascii="Aptos" w:hAnsi="Aptos" w:cs="Arial"/>
                <w:i/>
                <w:iCs/>
                <w:sz w:val="20"/>
                <w:szCs w:val="20"/>
              </w:rPr>
              <w:t>Pimascovirales</w:t>
            </w:r>
            <w:r>
              <w:rPr>
                <w:rFonts w:ascii="Aptos" w:hAnsi="Aptos" w:cs="Arial"/>
                <w:sz w:val="20"/>
                <w:szCs w:val="20"/>
              </w:rPr>
              <w:t xml:space="preserve">, alongside the families: </w:t>
            </w:r>
            <w:r>
              <w:rPr>
                <w:rFonts w:ascii="Aptos" w:hAnsi="Aptos" w:cs="Arial"/>
                <w:i/>
                <w:iCs/>
                <w:sz w:val="20"/>
                <w:szCs w:val="20"/>
              </w:rPr>
              <w:t>Iridoviridae</w:t>
            </w:r>
            <w:r>
              <w:rPr>
                <w:rFonts w:ascii="Aptos" w:hAnsi="Aptos" w:cs="Arial"/>
                <w:sz w:val="20"/>
                <w:szCs w:val="20"/>
              </w:rPr>
              <w:t xml:space="preserve">, </w:t>
            </w:r>
            <w:r>
              <w:rPr>
                <w:rFonts w:ascii="Aptos" w:hAnsi="Aptos" w:cs="Arial"/>
                <w:i/>
                <w:iCs/>
                <w:sz w:val="20"/>
                <w:szCs w:val="20"/>
              </w:rPr>
              <w:t>Ascoviridae</w:t>
            </w:r>
            <w:r>
              <w:rPr>
                <w:rFonts w:ascii="Aptos" w:hAnsi="Aptos" w:cs="Arial"/>
                <w:sz w:val="20"/>
                <w:szCs w:val="20"/>
              </w:rPr>
              <w:t xml:space="preserve"> and </w:t>
            </w:r>
            <w:r>
              <w:rPr>
                <w:rFonts w:ascii="Aptos" w:hAnsi="Aptos" w:cs="Arial"/>
                <w:i/>
                <w:iCs/>
                <w:sz w:val="20"/>
                <w:szCs w:val="20"/>
              </w:rPr>
              <w:t>Marseilleviridae</w:t>
            </w:r>
            <w:r>
              <w:rPr>
                <w:rFonts w:ascii="Aptos" w:hAnsi="Aptos" w:cs="Arial"/>
                <w:sz w:val="20"/>
                <w:szCs w:val="20"/>
              </w:rPr>
              <w:t xml:space="preserve">. </w:t>
            </w:r>
            <w:r w:rsidR="001A560E">
              <w:rPr>
                <w:rFonts w:ascii="Aptos" w:hAnsi="Aptos" w:cs="Arial"/>
                <w:sz w:val="20"/>
                <w:szCs w:val="20"/>
              </w:rPr>
              <w:t xml:space="preserve"> Please see attached excel sheet for further taxonomic detail.</w:t>
            </w:r>
          </w:p>
          <w:p w14:paraId="7F1F74B1" w14:textId="77777777" w:rsidR="00A6309D" w:rsidRDefault="00A6309D" w:rsidP="00A6309D">
            <w:pPr>
              <w:rPr>
                <w:rFonts w:ascii="Aptos" w:hAnsi="Aptos" w:cs="Arial"/>
                <w:sz w:val="20"/>
                <w:szCs w:val="20"/>
              </w:rPr>
            </w:pPr>
          </w:p>
          <w:p w14:paraId="6C7094B1" w14:textId="4B69C9E8" w:rsidR="00A6309D" w:rsidRPr="00A6309D" w:rsidRDefault="00A6309D" w:rsidP="00A6309D">
            <w:pPr>
              <w:rPr>
                <w:rFonts w:ascii="Aptos" w:hAnsi="Aptos" w:cs="Arial"/>
                <w:sz w:val="20"/>
                <w:szCs w:val="20"/>
              </w:rPr>
            </w:pPr>
            <w:r>
              <w:rPr>
                <w:rFonts w:ascii="Aptos" w:hAnsi="Aptos" w:cs="Arial"/>
                <w:sz w:val="20"/>
                <w:szCs w:val="20"/>
              </w:rPr>
              <w:lastRenderedPageBreak/>
              <w:t xml:space="preserve">The representative </w:t>
            </w:r>
            <w:r w:rsidR="001A560E">
              <w:rPr>
                <w:rFonts w:ascii="Aptos" w:hAnsi="Aptos" w:cs="Arial"/>
                <w:sz w:val="20"/>
                <w:szCs w:val="20"/>
              </w:rPr>
              <w:t xml:space="preserve">genus and species </w:t>
            </w:r>
            <w:r>
              <w:rPr>
                <w:rFonts w:ascii="Aptos" w:hAnsi="Aptos" w:cs="Arial"/>
                <w:sz w:val="20"/>
                <w:szCs w:val="20"/>
              </w:rPr>
              <w:t xml:space="preserve">for the new family (Mininucleoviridae) will be </w:t>
            </w:r>
            <w:r w:rsidRPr="00395450">
              <w:rPr>
                <w:rFonts w:ascii="Aptos" w:hAnsi="Aptos" w:cs="Arial"/>
                <w:bCs/>
                <w:color w:val="000000" w:themeColor="text1"/>
                <w:sz w:val="20"/>
                <w:szCs w:val="20"/>
              </w:rPr>
              <w:t>Alphamininucleovirus</w:t>
            </w:r>
            <w:r w:rsidR="001A560E">
              <w:rPr>
                <w:rFonts w:ascii="Aptos" w:hAnsi="Aptos" w:cs="Arial"/>
                <w:bCs/>
                <w:color w:val="000000" w:themeColor="text1"/>
                <w:sz w:val="20"/>
                <w:szCs w:val="20"/>
              </w:rPr>
              <w:t>, and Alphamininucleovirus</w:t>
            </w:r>
            <w:r w:rsidRPr="00395450">
              <w:rPr>
                <w:rFonts w:ascii="Aptos" w:hAnsi="Aptos" w:cs="Arial"/>
                <w:bCs/>
                <w:color w:val="000000" w:themeColor="text1"/>
                <w:sz w:val="20"/>
                <w:szCs w:val="20"/>
              </w:rPr>
              <w:t xml:space="preserve"> pavonealbus</w:t>
            </w:r>
            <w:r>
              <w:rPr>
                <w:rFonts w:ascii="Aptos" w:hAnsi="Aptos" w:cs="Arial"/>
                <w:bCs/>
                <w:color w:val="000000" w:themeColor="text1"/>
                <w:sz w:val="20"/>
                <w:szCs w:val="20"/>
              </w:rPr>
              <w:t xml:space="preserve"> (Genome: </w:t>
            </w:r>
            <w:r w:rsidRPr="00A6309D">
              <w:rPr>
                <w:rFonts w:ascii="Aptos" w:hAnsi="Aptos" w:cs="Arial"/>
                <w:bCs/>
                <w:color w:val="000000" w:themeColor="text1"/>
                <w:sz w:val="20"/>
                <w:szCs w:val="20"/>
              </w:rPr>
              <w:t>MN604017.1</w:t>
            </w:r>
            <w:r>
              <w:rPr>
                <w:rFonts w:ascii="Aptos" w:hAnsi="Aptos" w:cs="Arial"/>
                <w:bCs/>
                <w:color w:val="000000" w:themeColor="text1"/>
                <w:sz w:val="20"/>
                <w:szCs w:val="20"/>
              </w:rPr>
              <w:t>)</w:t>
            </w:r>
            <w:r w:rsidR="001A560E">
              <w:rPr>
                <w:rFonts w:ascii="Aptos" w:hAnsi="Aptos" w:cs="Arial"/>
                <w:bCs/>
                <w:color w:val="000000" w:themeColor="text1"/>
                <w:sz w:val="20"/>
                <w:szCs w:val="20"/>
              </w:rPr>
              <w:t>, respectively</w:t>
            </w:r>
            <w:r>
              <w:rPr>
                <w:rFonts w:ascii="Aptos" w:hAnsi="Aptos" w:cs="Arial"/>
                <w:bCs/>
                <w:color w:val="000000" w:themeColor="text1"/>
                <w:sz w:val="20"/>
                <w:szCs w:val="20"/>
              </w:rPr>
              <w:t>.</w:t>
            </w:r>
          </w:p>
          <w:p w14:paraId="166F20E4" w14:textId="4C8E57FA" w:rsidR="00A77B8E" w:rsidRDefault="00A77B8E" w:rsidP="00DD58AA">
            <w:pPr>
              <w:rPr>
                <w:rFonts w:ascii="Aptos" w:hAnsi="Aptos" w:cs="Arial"/>
                <w:sz w:val="20"/>
                <w:szCs w:val="20"/>
              </w:rPr>
            </w:pPr>
          </w:p>
          <w:p w14:paraId="266FF254" w14:textId="798DAA35" w:rsidR="00273642" w:rsidRDefault="00273642" w:rsidP="00DD58AA">
            <w:pPr>
              <w:rPr>
                <w:rFonts w:ascii="Aptos" w:hAnsi="Aptos" w:cs="Arial"/>
                <w:i/>
                <w:sz w:val="20"/>
                <w:szCs w:val="20"/>
              </w:rPr>
            </w:pPr>
            <w:r>
              <w:rPr>
                <w:rFonts w:ascii="Aptos" w:hAnsi="Aptos" w:cs="Arial"/>
                <w:i/>
                <w:sz w:val="20"/>
                <w:szCs w:val="20"/>
              </w:rPr>
              <w:t>Demarcation criteria</w:t>
            </w:r>
            <w:r w:rsidR="00E92794">
              <w:rPr>
                <w:rFonts w:ascii="Aptos" w:hAnsi="Aptos" w:cs="Arial"/>
                <w:i/>
                <w:sz w:val="20"/>
                <w:szCs w:val="20"/>
              </w:rPr>
              <w:t xml:space="preserve"> for new taxon/taxa</w:t>
            </w:r>
            <w:r>
              <w:rPr>
                <w:rFonts w:ascii="Aptos" w:hAnsi="Aptos" w:cs="Arial"/>
                <w:i/>
                <w:sz w:val="20"/>
                <w:szCs w:val="20"/>
              </w:rPr>
              <w:t>:</w:t>
            </w:r>
          </w:p>
          <w:p w14:paraId="16CD317B" w14:textId="6A8CF9BA" w:rsidR="001A560E" w:rsidRDefault="001A560E" w:rsidP="001A560E">
            <w:pPr>
              <w:rPr>
                <w:rFonts w:ascii="Aptos" w:hAnsi="Aptos" w:cs="Arial"/>
                <w:sz w:val="20"/>
                <w:szCs w:val="20"/>
              </w:rPr>
            </w:pPr>
            <w:r>
              <w:rPr>
                <w:rFonts w:ascii="Aptos" w:hAnsi="Aptos" w:cs="Arial"/>
                <w:sz w:val="20"/>
                <w:szCs w:val="20"/>
              </w:rPr>
              <w:t>Four taxa are known of that could be included in the new viral family; however, only three have complete genomes available to support formalization. Inclusion in the Mininucleoviridae family and Alphamininucleovirus genus should be supported by phylogenetic clustering with emphasis and primary representation based on the PaV1 isolate. Using protein similarity as a basis for intra-familial demarcation, we suggest that a minimum protein similarity for the most conserved protein sequence (RPB2) be set at 40%. Inclusion of any new isolate within the three designated species (</w:t>
            </w:r>
            <w:r w:rsidRPr="00395450">
              <w:rPr>
                <w:rFonts w:ascii="Aptos" w:hAnsi="Aptos" w:cs="Arial"/>
                <w:bCs/>
                <w:color w:val="000000" w:themeColor="text1"/>
                <w:sz w:val="20"/>
                <w:szCs w:val="20"/>
              </w:rPr>
              <w:t>Alphamininucleovirus pavonealbus</w:t>
            </w:r>
            <w:r>
              <w:rPr>
                <w:rFonts w:ascii="Aptos" w:hAnsi="Aptos" w:cs="Arial"/>
                <w:bCs/>
                <w:color w:val="000000" w:themeColor="text1"/>
                <w:sz w:val="20"/>
                <w:szCs w:val="20"/>
              </w:rPr>
              <w:t xml:space="preserve">, </w:t>
            </w:r>
            <w:r w:rsidRPr="00395450">
              <w:rPr>
                <w:rFonts w:ascii="Aptos" w:hAnsi="Aptos" w:cs="Arial"/>
                <w:bCs/>
                <w:color w:val="000000" w:themeColor="text1"/>
                <w:sz w:val="20"/>
                <w:szCs w:val="20"/>
              </w:rPr>
              <w:t>Alphamininucleovirus carmaneas</w:t>
            </w:r>
            <w:r>
              <w:rPr>
                <w:rFonts w:ascii="Aptos" w:hAnsi="Aptos" w:cs="Arial"/>
                <w:bCs/>
                <w:color w:val="000000" w:themeColor="text1"/>
                <w:sz w:val="20"/>
                <w:szCs w:val="20"/>
              </w:rPr>
              <w:t xml:space="preserve">, </w:t>
            </w:r>
            <w:r w:rsidRPr="00395450">
              <w:rPr>
                <w:rFonts w:ascii="Aptos" w:hAnsi="Aptos" w:cs="Arial"/>
                <w:bCs/>
                <w:color w:val="000000" w:themeColor="text1"/>
                <w:sz w:val="20"/>
                <w:szCs w:val="20"/>
              </w:rPr>
              <w:t>Alphamininucleovirus dikhaemobaphidis</w:t>
            </w:r>
            <w:r>
              <w:rPr>
                <w:rFonts w:ascii="Aptos" w:hAnsi="Aptos" w:cs="Arial"/>
                <w:sz w:val="20"/>
                <w:szCs w:val="20"/>
              </w:rPr>
              <w:t>) should be based on &gt;90% protein similarity when comparing the RPB2.</w:t>
            </w:r>
          </w:p>
          <w:p w14:paraId="239C9D43" w14:textId="77777777" w:rsidR="00273642" w:rsidRDefault="00273642" w:rsidP="00DD58AA">
            <w:pPr>
              <w:rPr>
                <w:rFonts w:ascii="Aptos" w:hAnsi="Aptos" w:cs="Arial"/>
                <w:i/>
                <w:sz w:val="20"/>
                <w:szCs w:val="20"/>
              </w:rPr>
            </w:pPr>
          </w:p>
          <w:p w14:paraId="404D8B91" w14:textId="2FB03C03" w:rsidR="00A77B8E" w:rsidRPr="00BE4F5A" w:rsidRDefault="00A77B8E" w:rsidP="00DD58AA">
            <w:pPr>
              <w:rPr>
                <w:rFonts w:ascii="Aptos" w:hAnsi="Aptos" w:cs="Arial"/>
                <w:sz w:val="20"/>
                <w:szCs w:val="20"/>
              </w:rPr>
            </w:pPr>
            <w:r w:rsidRPr="00BE4F5A">
              <w:rPr>
                <w:rFonts w:ascii="Aptos" w:hAnsi="Aptos" w:cs="Arial"/>
                <w:i/>
                <w:sz w:val="20"/>
                <w:szCs w:val="20"/>
              </w:rPr>
              <w:t>Justification</w:t>
            </w:r>
            <w:r w:rsidRPr="00BE4F5A">
              <w:rPr>
                <w:rFonts w:ascii="Aptos" w:hAnsi="Aptos" w:cs="Arial"/>
                <w:sz w:val="20"/>
                <w:szCs w:val="20"/>
              </w:rPr>
              <w:t xml:space="preserve">:      </w:t>
            </w:r>
          </w:p>
          <w:p w14:paraId="5BCD9B1B" w14:textId="77777777" w:rsidR="00334462" w:rsidRPr="002D596C" w:rsidRDefault="00334462" w:rsidP="00334462">
            <w:pPr>
              <w:rPr>
                <w:rFonts w:ascii="Aptos" w:hAnsi="Aptos" w:cs="Arial"/>
                <w:sz w:val="20"/>
                <w:szCs w:val="20"/>
              </w:rPr>
            </w:pPr>
            <w:r>
              <w:rPr>
                <w:rFonts w:ascii="Aptos" w:hAnsi="Aptos" w:cs="Arial"/>
                <w:sz w:val="20"/>
                <w:szCs w:val="20"/>
              </w:rPr>
              <w:t xml:space="preserve">Crustaceans are economically and ecologically valuable organisms. Mass mortalities and ongoing issues in the culture of crustaceans led to a greater effort to understand underlying viral communities that might drive mortality and reduced growth. Initial research into the spiny lobster, </w:t>
            </w:r>
            <w:r>
              <w:rPr>
                <w:rFonts w:ascii="Aptos" w:hAnsi="Aptos" w:cs="Arial"/>
                <w:i/>
                <w:iCs/>
                <w:sz w:val="20"/>
                <w:szCs w:val="20"/>
              </w:rPr>
              <w:t>Panulirus argus</w:t>
            </w:r>
            <w:r>
              <w:rPr>
                <w:rFonts w:ascii="Aptos" w:hAnsi="Aptos" w:cs="Arial"/>
                <w:sz w:val="20"/>
                <w:szCs w:val="20"/>
              </w:rPr>
              <w:t xml:space="preserve">, revealed a novel virus-like entity driving an intranuclear pathology in haemocytes that resulted in white haemolymph (Shields and Behringer, 2004). Shields and Behringer (2004) identified the virus based on its morphology, providing the first visual confirmation of the virus using Transmission Electron Microscopy. In later years, two further viruses with similar haemocyte infections were reported from the amphipod </w:t>
            </w:r>
            <w:r>
              <w:rPr>
                <w:rFonts w:ascii="Aptos" w:hAnsi="Aptos" w:cs="Arial"/>
                <w:i/>
                <w:iCs/>
                <w:sz w:val="20"/>
                <w:szCs w:val="20"/>
              </w:rPr>
              <w:t>Dikerogammarus haemobaphes</w:t>
            </w:r>
            <w:r>
              <w:rPr>
                <w:rFonts w:ascii="Aptos" w:hAnsi="Aptos" w:cs="Arial"/>
                <w:sz w:val="20"/>
                <w:szCs w:val="20"/>
              </w:rPr>
              <w:t xml:space="preserve"> and the crab, </w:t>
            </w:r>
            <w:r>
              <w:rPr>
                <w:rFonts w:ascii="Aptos" w:hAnsi="Aptos" w:cs="Arial"/>
                <w:i/>
                <w:iCs/>
                <w:sz w:val="20"/>
                <w:szCs w:val="20"/>
              </w:rPr>
              <w:t>Carcinus maenas</w:t>
            </w:r>
            <w:r>
              <w:rPr>
                <w:rFonts w:ascii="Aptos" w:hAnsi="Aptos" w:cs="Arial"/>
                <w:sz w:val="20"/>
                <w:szCs w:val="20"/>
              </w:rPr>
              <w:t>, both from UK populations (Bojko et al. 2019; summarized in Bateman, 2021). Subramaniam et al. (2020) provided the first genome-level assemblies of these three viruses – Panulirus argus virus 1 (</w:t>
            </w:r>
            <w:r w:rsidRPr="00B01C16">
              <w:rPr>
                <w:rFonts w:ascii="Aptos" w:hAnsi="Aptos" w:cs="Arial"/>
                <w:sz w:val="20"/>
                <w:szCs w:val="20"/>
              </w:rPr>
              <w:t>PaV1</w:t>
            </w:r>
            <w:r>
              <w:rPr>
                <w:rFonts w:ascii="Aptos" w:hAnsi="Aptos" w:cs="Arial"/>
                <w:sz w:val="20"/>
                <w:szCs w:val="20"/>
              </w:rPr>
              <w:t>)</w:t>
            </w:r>
            <w:r w:rsidRPr="00B01C16">
              <w:rPr>
                <w:rFonts w:ascii="Aptos" w:hAnsi="Aptos" w:cs="Arial"/>
                <w:sz w:val="20"/>
                <w:szCs w:val="20"/>
              </w:rPr>
              <w:t>,</w:t>
            </w:r>
            <w:r>
              <w:rPr>
                <w:rFonts w:ascii="Aptos" w:hAnsi="Aptos" w:cs="Arial"/>
                <w:sz w:val="20"/>
                <w:szCs w:val="20"/>
              </w:rPr>
              <w:t xml:space="preserve"> Dikerogammarus haemobaphes virus 1</w:t>
            </w:r>
            <w:r w:rsidRPr="00B01C16">
              <w:rPr>
                <w:rFonts w:ascii="Aptos" w:hAnsi="Aptos" w:cs="Arial"/>
                <w:sz w:val="20"/>
                <w:szCs w:val="20"/>
              </w:rPr>
              <w:t xml:space="preserve"> </w:t>
            </w:r>
            <w:r>
              <w:rPr>
                <w:rFonts w:ascii="Aptos" w:hAnsi="Aptos" w:cs="Arial"/>
                <w:sz w:val="20"/>
                <w:szCs w:val="20"/>
              </w:rPr>
              <w:t>(</w:t>
            </w:r>
            <w:r w:rsidRPr="00B01C16">
              <w:rPr>
                <w:rFonts w:ascii="Aptos" w:hAnsi="Aptos" w:cs="Arial"/>
                <w:sz w:val="20"/>
                <w:szCs w:val="20"/>
              </w:rPr>
              <w:t>DhV1</w:t>
            </w:r>
            <w:r>
              <w:rPr>
                <w:rFonts w:ascii="Aptos" w:hAnsi="Aptos" w:cs="Arial"/>
                <w:sz w:val="20"/>
                <w:szCs w:val="20"/>
              </w:rPr>
              <w:t>)</w:t>
            </w:r>
            <w:r w:rsidRPr="00B01C16">
              <w:rPr>
                <w:rFonts w:ascii="Aptos" w:hAnsi="Aptos" w:cs="Arial"/>
                <w:sz w:val="20"/>
                <w:szCs w:val="20"/>
              </w:rPr>
              <w:t>, and</w:t>
            </w:r>
            <w:r>
              <w:rPr>
                <w:rFonts w:ascii="Aptos" w:hAnsi="Aptos" w:cs="Arial"/>
                <w:sz w:val="20"/>
                <w:szCs w:val="20"/>
              </w:rPr>
              <w:t xml:space="preserve"> carcinus maenas virus 1</w:t>
            </w:r>
            <w:r w:rsidRPr="00B01C16">
              <w:rPr>
                <w:rFonts w:ascii="Aptos" w:hAnsi="Aptos" w:cs="Arial"/>
                <w:sz w:val="20"/>
                <w:szCs w:val="20"/>
              </w:rPr>
              <w:t xml:space="preserve"> </w:t>
            </w:r>
            <w:r>
              <w:rPr>
                <w:rFonts w:ascii="Aptos" w:hAnsi="Aptos" w:cs="Arial"/>
                <w:sz w:val="20"/>
                <w:szCs w:val="20"/>
              </w:rPr>
              <w:t>(</w:t>
            </w:r>
            <w:r w:rsidRPr="00B01C16">
              <w:rPr>
                <w:rFonts w:ascii="Aptos" w:hAnsi="Aptos" w:cs="Arial"/>
                <w:sz w:val="20"/>
                <w:szCs w:val="20"/>
              </w:rPr>
              <w:t>CmV1</w:t>
            </w:r>
            <w:r>
              <w:rPr>
                <w:rFonts w:ascii="Aptos" w:hAnsi="Aptos" w:cs="Arial"/>
                <w:sz w:val="20"/>
                <w:szCs w:val="20"/>
              </w:rPr>
              <w:t>)</w:t>
            </w:r>
            <w:r w:rsidRPr="00B01C16">
              <w:rPr>
                <w:rFonts w:ascii="Aptos" w:hAnsi="Aptos" w:cs="Arial"/>
                <w:sz w:val="20"/>
                <w:szCs w:val="20"/>
              </w:rPr>
              <w:t xml:space="preserve"> have genomes of 70,886 bp, 73,581 bp, and 66,929 bp, with 61, 61, and 62 predicted protein-coding genes.</w:t>
            </w:r>
            <w:r>
              <w:rPr>
                <w:rFonts w:ascii="Aptos" w:hAnsi="Aptos" w:cs="Arial"/>
                <w:sz w:val="20"/>
                <w:szCs w:val="20"/>
              </w:rPr>
              <w:t xml:space="preserve"> </w:t>
            </w:r>
            <w:r w:rsidRPr="00B01C16">
              <w:rPr>
                <w:rFonts w:ascii="Aptos" w:hAnsi="Aptos" w:cs="Arial"/>
                <w:sz w:val="20"/>
                <w:szCs w:val="20"/>
              </w:rPr>
              <w:t>The genome sequences of PaV1, CmV1, and DhV1</w:t>
            </w:r>
            <w:r>
              <w:rPr>
                <w:rFonts w:ascii="Aptos" w:hAnsi="Aptos" w:cs="Arial"/>
                <w:sz w:val="20"/>
                <w:szCs w:val="20"/>
              </w:rPr>
              <w:t xml:space="preserve">were </w:t>
            </w:r>
            <w:r w:rsidRPr="00B01C16">
              <w:rPr>
                <w:rFonts w:ascii="Aptos" w:hAnsi="Aptos" w:cs="Arial"/>
                <w:sz w:val="20"/>
                <w:szCs w:val="20"/>
              </w:rPr>
              <w:t>deposited under accession n</w:t>
            </w:r>
            <w:r>
              <w:rPr>
                <w:rFonts w:ascii="Aptos" w:hAnsi="Aptos" w:cs="Arial"/>
                <w:sz w:val="20"/>
                <w:szCs w:val="20"/>
              </w:rPr>
              <w:t>umbers:</w:t>
            </w:r>
            <w:r w:rsidRPr="00B01C16">
              <w:rPr>
                <w:rFonts w:ascii="Aptos" w:hAnsi="Aptos" w:cs="Arial"/>
                <w:sz w:val="20"/>
                <w:szCs w:val="20"/>
              </w:rPr>
              <w:t xml:space="preserve"> MN604017, MN604015, and MN604016, respectively.</w:t>
            </w:r>
            <w:r>
              <w:rPr>
                <w:rFonts w:ascii="Aptos" w:hAnsi="Aptos" w:cs="Arial"/>
                <w:sz w:val="20"/>
                <w:szCs w:val="20"/>
              </w:rPr>
              <w:t xml:space="preserve"> Most recently, transcriptomic evidence of a fourth mininucleovirus was published (Burgess and Bojko, 2024), and more a likely to be identified as metagenomic screening datasets become more common. Phylogenetic information provided in Burgess and Bojko (2024) suggest that mininucleoviruses from amphipod hosts group together, and that mininucleoviruses from decapod hosts group together; however, the sample sizes at this time are too small to suggest separate genera.</w:t>
            </w:r>
          </w:p>
          <w:p w14:paraId="1BE596D0" w14:textId="77777777" w:rsidR="00334462" w:rsidRDefault="00334462" w:rsidP="001A560E">
            <w:pPr>
              <w:pStyle w:val="BodyTextIndent"/>
              <w:ind w:left="0" w:firstLine="0"/>
              <w:rPr>
                <w:rFonts w:ascii="Aptos" w:hAnsi="Aptos" w:cs="Arial"/>
                <w:color w:val="000000"/>
                <w:sz w:val="20"/>
              </w:rPr>
            </w:pPr>
          </w:p>
          <w:p w14:paraId="392BF69E" w14:textId="110585AA" w:rsidR="001A560E" w:rsidRPr="00F46E48" w:rsidRDefault="001A560E" w:rsidP="001A560E">
            <w:pPr>
              <w:pStyle w:val="BodyTextIndent"/>
              <w:ind w:left="0" w:firstLine="0"/>
              <w:rPr>
                <w:rFonts w:ascii="Aptos" w:hAnsi="Aptos" w:cs="Arial"/>
                <w:color w:val="000000"/>
                <w:sz w:val="20"/>
              </w:rPr>
            </w:pPr>
            <w:r>
              <w:rPr>
                <w:rFonts w:ascii="Aptos" w:hAnsi="Aptos" w:cs="Arial"/>
                <w:color w:val="000000"/>
                <w:sz w:val="20"/>
              </w:rPr>
              <w:t xml:space="preserve">The Mininucleoviridae family currently has three prospective viral species to base its foundation upon, and a forth informal species derived from transcriptomic data. The justification for the 40% cut off for inclusion in the Mininucleoviridae family and Alphamininucleovirus genus, relates to the lowest (40.55%) similarity observed, specifically between the CmV1 RPB2 and GlM1 RPB2 proteins (Fig. 2). </w:t>
            </w:r>
          </w:p>
          <w:p w14:paraId="79F0111D" w14:textId="66A0D307" w:rsidR="00A77B8E" w:rsidRDefault="00A77B8E" w:rsidP="00DD58AA">
            <w:pPr>
              <w:rPr>
                <w:rFonts w:ascii="Aptos" w:hAnsi="Aptos" w:cs="Arial"/>
                <w:sz w:val="20"/>
                <w:szCs w:val="20"/>
              </w:rPr>
            </w:pP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06BA0BB4" w14:textId="77777777" w:rsidR="00334462" w:rsidRPr="00CC5DB1" w:rsidRDefault="00334462" w:rsidP="00334462">
            <w:pPr>
              <w:rPr>
                <w:rFonts w:ascii="Aptos" w:hAnsi="Aptos" w:cs="Arial"/>
                <w:bCs/>
                <w:sz w:val="20"/>
                <w:szCs w:val="20"/>
              </w:rPr>
            </w:pPr>
            <w:r w:rsidRPr="00CC5DB1">
              <w:rPr>
                <w:rFonts w:ascii="Aptos" w:hAnsi="Aptos" w:cs="Arial"/>
                <w:bCs/>
                <w:sz w:val="20"/>
                <w:szCs w:val="20"/>
              </w:rPr>
              <w:t>Bateman, K. S. (2021). Viruses affecting crustaceans. Studies in viral ecology, 305-340.</w:t>
            </w:r>
          </w:p>
          <w:p w14:paraId="2A5FAA12" w14:textId="77777777" w:rsidR="00334462" w:rsidRPr="00CC5DB1" w:rsidRDefault="00334462" w:rsidP="00334462">
            <w:pPr>
              <w:rPr>
                <w:rFonts w:ascii="Aptos" w:hAnsi="Aptos" w:cs="Arial"/>
                <w:bCs/>
                <w:sz w:val="20"/>
                <w:szCs w:val="20"/>
              </w:rPr>
            </w:pPr>
          </w:p>
          <w:p w14:paraId="330C386D" w14:textId="77777777" w:rsidR="00334462" w:rsidRPr="00CC5DB1" w:rsidRDefault="00334462" w:rsidP="00334462">
            <w:pPr>
              <w:rPr>
                <w:rFonts w:ascii="Aptos" w:hAnsi="Aptos" w:cs="Arial"/>
                <w:bCs/>
                <w:sz w:val="20"/>
                <w:szCs w:val="20"/>
              </w:rPr>
            </w:pPr>
            <w:r w:rsidRPr="00CC5DB1">
              <w:rPr>
                <w:rFonts w:ascii="Aptos" w:hAnsi="Aptos" w:cs="Arial"/>
                <w:bCs/>
                <w:sz w:val="20"/>
                <w:szCs w:val="20"/>
              </w:rPr>
              <w:t>Bojko, J., Stentiford, G. D., Stebbing, P. D., Hassall, C., Deacon, A., Cargill, B., ... &amp; Dunn, A. M. (2019). Pathogens of Dikerogammarus haemobaphes regulate host activity and survival, but also threaten native amphipod populations in the UK. Diseases of Aquatic Organisms, 136(1), 63-78.</w:t>
            </w:r>
          </w:p>
          <w:p w14:paraId="76DD76CD" w14:textId="77777777" w:rsidR="00334462" w:rsidRPr="00CC5DB1" w:rsidRDefault="00334462" w:rsidP="00334462">
            <w:pPr>
              <w:rPr>
                <w:rFonts w:ascii="Aptos" w:hAnsi="Aptos" w:cs="Arial"/>
                <w:bCs/>
                <w:sz w:val="20"/>
                <w:szCs w:val="20"/>
              </w:rPr>
            </w:pPr>
          </w:p>
          <w:p w14:paraId="29238212" w14:textId="77777777" w:rsidR="00334462" w:rsidRPr="00CC5DB1" w:rsidRDefault="00334462" w:rsidP="00334462">
            <w:pPr>
              <w:rPr>
                <w:rFonts w:ascii="Aptos" w:hAnsi="Aptos" w:cs="Arial"/>
                <w:bCs/>
                <w:sz w:val="20"/>
                <w:szCs w:val="20"/>
              </w:rPr>
            </w:pPr>
            <w:r w:rsidRPr="00CC5DB1">
              <w:rPr>
                <w:rFonts w:ascii="Aptos" w:hAnsi="Aptos" w:cs="Arial"/>
                <w:bCs/>
                <w:sz w:val="20"/>
                <w:szCs w:val="20"/>
              </w:rPr>
              <w:t>Burgess, A., &amp; Bojko, J. (2024). Transcriptomic evidence of a fourth mininucleovirus (Mininucleoviridae): A rapidly growing family among the Nucleo-Cytoplasmic Large DNA viruses (NCLDVs). </w:t>
            </w:r>
            <w:r w:rsidRPr="00CC5DB1">
              <w:rPr>
                <w:rFonts w:ascii="Aptos" w:hAnsi="Aptos" w:cs="Arial"/>
                <w:bCs/>
                <w:i/>
                <w:iCs/>
                <w:sz w:val="20"/>
                <w:szCs w:val="20"/>
              </w:rPr>
              <w:t>Journal of Invertebrate Pathology</w:t>
            </w:r>
            <w:r w:rsidRPr="00CC5DB1">
              <w:rPr>
                <w:rFonts w:ascii="Aptos" w:hAnsi="Aptos" w:cs="Arial"/>
                <w:bCs/>
                <w:sz w:val="20"/>
                <w:szCs w:val="20"/>
              </w:rPr>
              <w:t>, </w:t>
            </w:r>
            <w:r w:rsidRPr="00CC5DB1">
              <w:rPr>
                <w:rFonts w:ascii="Aptos" w:hAnsi="Aptos" w:cs="Arial"/>
                <w:bCs/>
                <w:i/>
                <w:iCs/>
                <w:sz w:val="20"/>
                <w:szCs w:val="20"/>
              </w:rPr>
              <w:t>204</w:t>
            </w:r>
            <w:r w:rsidRPr="00CC5DB1">
              <w:rPr>
                <w:rFonts w:ascii="Aptos" w:hAnsi="Aptos" w:cs="Arial"/>
                <w:bCs/>
                <w:sz w:val="20"/>
                <w:szCs w:val="20"/>
              </w:rPr>
              <w:t>, 108096.</w:t>
            </w:r>
          </w:p>
          <w:p w14:paraId="5241C015" w14:textId="77777777" w:rsidR="00334462" w:rsidRPr="00CC5DB1" w:rsidRDefault="00334462" w:rsidP="00334462">
            <w:pPr>
              <w:rPr>
                <w:rFonts w:ascii="Aptos" w:hAnsi="Aptos" w:cs="Arial"/>
                <w:bCs/>
                <w:sz w:val="20"/>
                <w:szCs w:val="20"/>
              </w:rPr>
            </w:pPr>
          </w:p>
          <w:p w14:paraId="3F72D3C6" w14:textId="77777777" w:rsidR="00334462" w:rsidRPr="00CC5DB1" w:rsidRDefault="00334462" w:rsidP="00334462">
            <w:pPr>
              <w:rPr>
                <w:rFonts w:ascii="Aptos" w:hAnsi="Aptos" w:cs="Arial"/>
                <w:bCs/>
                <w:sz w:val="20"/>
                <w:szCs w:val="20"/>
              </w:rPr>
            </w:pPr>
            <w:r w:rsidRPr="00CC5DB1">
              <w:rPr>
                <w:rFonts w:ascii="Aptos" w:hAnsi="Aptos" w:cs="Arial"/>
                <w:bCs/>
                <w:sz w:val="20"/>
                <w:szCs w:val="20"/>
              </w:rPr>
              <w:t>Shields, J. D., &amp; Behringer Jr, D. C. (2004). A new pathogenic virus in the Caribbean spiny lobster Panulirus argus from the Florida Keys. Diseases of aquatic organisms, 59(2), 109-118.</w:t>
            </w:r>
          </w:p>
          <w:p w14:paraId="33332D38" w14:textId="77777777" w:rsidR="00334462" w:rsidRPr="00CC5DB1" w:rsidRDefault="00334462" w:rsidP="00334462">
            <w:pPr>
              <w:rPr>
                <w:rFonts w:ascii="Aptos" w:hAnsi="Aptos" w:cs="Arial"/>
                <w:bCs/>
                <w:sz w:val="20"/>
                <w:szCs w:val="20"/>
              </w:rPr>
            </w:pPr>
          </w:p>
          <w:p w14:paraId="7D1B1CCD" w14:textId="691436BB" w:rsidR="00953FFE" w:rsidRPr="00BE4F5A" w:rsidRDefault="00334462" w:rsidP="00CC5DB1">
            <w:pPr>
              <w:rPr>
                <w:rFonts w:ascii="Aptos" w:hAnsi="Aptos"/>
                <w:sz w:val="20"/>
                <w:szCs w:val="20"/>
              </w:rPr>
            </w:pPr>
            <w:r w:rsidRPr="00CC5DB1">
              <w:rPr>
                <w:rFonts w:ascii="Aptos" w:hAnsi="Aptos" w:cs="Arial"/>
                <w:bCs/>
                <w:sz w:val="20"/>
                <w:szCs w:val="20"/>
              </w:rPr>
              <w:t>Subramaniam, K., Behringer, D. C., Bojko, J., Yutin, N., Clark, A. S., Bateman, K. S., ... &amp; Waltzek, T. B. (2020). A new family of DNA viruses causing disease in crustaceans from diverse aquatic biomes. </w:t>
            </w:r>
            <w:r w:rsidRPr="00CC5DB1">
              <w:rPr>
                <w:rFonts w:ascii="Aptos" w:hAnsi="Aptos" w:cs="Arial"/>
                <w:bCs/>
                <w:i/>
                <w:iCs/>
                <w:sz w:val="20"/>
                <w:szCs w:val="20"/>
              </w:rPr>
              <w:t>MBio</w:t>
            </w:r>
            <w:r w:rsidRPr="00CC5DB1">
              <w:rPr>
                <w:rFonts w:ascii="Aptos" w:hAnsi="Aptos" w:cs="Arial"/>
                <w:bCs/>
                <w:sz w:val="20"/>
                <w:szCs w:val="20"/>
              </w:rPr>
              <w:t>, </w:t>
            </w:r>
            <w:r w:rsidRPr="00CC5DB1">
              <w:rPr>
                <w:rFonts w:ascii="Aptos" w:hAnsi="Aptos" w:cs="Arial"/>
                <w:bCs/>
                <w:i/>
                <w:iCs/>
                <w:sz w:val="20"/>
                <w:szCs w:val="20"/>
              </w:rPr>
              <w:t>11</w:t>
            </w:r>
            <w:r w:rsidRPr="00CC5DB1">
              <w:rPr>
                <w:rFonts w:ascii="Aptos" w:hAnsi="Aptos" w:cs="Arial"/>
                <w:bCs/>
                <w:sz w:val="20"/>
                <w:szCs w:val="20"/>
              </w:rPr>
              <w:t>(1), 10-1128.</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104C8060"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47848EB5" w:rsidR="00FC2269" w:rsidRPr="00D5170B" w:rsidRDefault="00FC2269" w:rsidP="005F790F">
            <w:pPr>
              <w:rPr>
                <w:rFonts w:ascii="Aptos" w:hAnsi="Aptos" w:cs="Arial"/>
                <w:bCs/>
                <w:sz w:val="20"/>
                <w:szCs w:val="20"/>
              </w:rPr>
            </w:pPr>
          </w:p>
        </w:tc>
        <w:tc>
          <w:tcPr>
            <w:tcW w:w="6663" w:type="dxa"/>
          </w:tcPr>
          <w:p w14:paraId="22F4B256" w14:textId="1CCD9F33" w:rsidR="00FC2269" w:rsidRPr="00D5170B" w:rsidRDefault="00FC2269" w:rsidP="005F790F">
            <w:pPr>
              <w:rPr>
                <w:rFonts w:ascii="Aptos" w:hAnsi="Aptos" w:cs="Arial"/>
                <w:bCs/>
                <w:sz w:val="20"/>
                <w:szCs w:val="20"/>
              </w:rPr>
            </w:pP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7B1CDA50"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75CC4B18" w14:textId="77777777" w:rsidR="00CC5DB1" w:rsidRDefault="00395450" w:rsidP="00FC2269">
      <w:pPr>
        <w:rPr>
          <w:rFonts w:ascii="Aptos" w:hAnsi="Aptos"/>
          <w:b/>
          <w:bCs/>
          <w:sz w:val="20"/>
          <w:szCs w:val="20"/>
        </w:rPr>
      </w:pPr>
      <w:r>
        <w:rPr>
          <w:rFonts w:ascii="Aptos" w:hAnsi="Aptos"/>
          <w:noProof/>
          <w:color w:val="0070C0"/>
        </w:rPr>
        <w:drawing>
          <wp:inline distT="0" distB="0" distL="0" distR="0" wp14:anchorId="30DE1D62" wp14:editId="2C1B1CD1">
            <wp:extent cx="6134123" cy="1779105"/>
            <wp:effectExtent l="0" t="0" r="0" b="0"/>
            <wp:docPr id="8462448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63931" cy="1787750"/>
                    </a:xfrm>
                    <a:prstGeom prst="rect">
                      <a:avLst/>
                    </a:prstGeom>
                    <a:noFill/>
                    <a:ln>
                      <a:noFill/>
                    </a:ln>
                  </pic:spPr>
                </pic:pic>
              </a:graphicData>
            </a:graphic>
          </wp:inline>
        </w:drawing>
      </w:r>
    </w:p>
    <w:p w14:paraId="29966CA0" w14:textId="77777777" w:rsidR="00CC5DB1" w:rsidRDefault="00CC5DB1" w:rsidP="00FC2269">
      <w:pPr>
        <w:rPr>
          <w:rFonts w:ascii="Aptos" w:hAnsi="Aptos"/>
          <w:b/>
          <w:bCs/>
          <w:sz w:val="20"/>
          <w:szCs w:val="20"/>
        </w:rPr>
      </w:pPr>
    </w:p>
    <w:p w14:paraId="35068792" w14:textId="77777777" w:rsidR="00CC5DB1" w:rsidRDefault="00CC5DB1" w:rsidP="00FC2269">
      <w:pPr>
        <w:rPr>
          <w:rFonts w:ascii="Aptos" w:hAnsi="Aptos"/>
          <w:b/>
          <w:bCs/>
          <w:sz w:val="20"/>
          <w:szCs w:val="20"/>
        </w:rPr>
      </w:pPr>
    </w:p>
    <w:p w14:paraId="5F794C10" w14:textId="0AD1FDE9" w:rsidR="00CC5DB1" w:rsidRDefault="00395450" w:rsidP="00FC2269">
      <w:pPr>
        <w:rPr>
          <w:rFonts w:ascii="Aptos" w:hAnsi="Aptos"/>
          <w:sz w:val="20"/>
          <w:szCs w:val="20"/>
        </w:rPr>
      </w:pPr>
      <w:r w:rsidRPr="00CC5DB1">
        <w:rPr>
          <w:rFonts w:ascii="Aptos" w:hAnsi="Aptos"/>
          <w:b/>
          <w:bCs/>
          <w:sz w:val="20"/>
          <w:szCs w:val="20"/>
        </w:rPr>
        <w:t>Figure 1</w:t>
      </w:r>
      <w:r w:rsidRPr="00CC5DB1">
        <w:rPr>
          <w:rFonts w:ascii="Aptos" w:hAnsi="Aptos"/>
          <w:sz w:val="20"/>
          <w:szCs w:val="20"/>
        </w:rPr>
        <w:t>. The gene synteny plot originally presented in the open access Subramaniam et al. (2020), with the caption: “Genome maps of the crustacean viruses PaV1 (Panulirus argus virus 1), DhV1 (Dikerogammarus haemobaphes virus 1), and CmV1 (Carcinus maenas virus 1). Predicted orthologous genes are marked with the same colors. nt, nucleotides. Gene abbreviations: DNAp, family B DNA polymerase; MCP, major capsid protein; D5 hel, D5-like primase-helicase; ATP, packaging ATPase; RNApB, DNA-dependent RNA polymerase subunit RPB2; RNApA, DNA-dependent RNA polymerase subunit RPB1; Pox_G9-A16, poxvirus entry-fusion complex G9-A16; divDNAp, divergent family B DNA polymerase; L1R_F9L, lipid membrane protein of large eukaryotic DNA viruses; Erv1, sulfhydryl/thiol oxidoreductase (ERV1/ALR/poxvirus E10 family).”</w:t>
      </w:r>
    </w:p>
    <w:p w14:paraId="5E67865D" w14:textId="77777777" w:rsidR="00CC5DB1" w:rsidRDefault="00CC5DB1">
      <w:pPr>
        <w:rPr>
          <w:rFonts w:ascii="Aptos" w:hAnsi="Aptos"/>
          <w:sz w:val="20"/>
          <w:szCs w:val="20"/>
        </w:rPr>
      </w:pPr>
      <w:r>
        <w:rPr>
          <w:rFonts w:ascii="Aptos" w:hAnsi="Aptos"/>
          <w:sz w:val="20"/>
          <w:szCs w:val="20"/>
        </w:rPr>
        <w:br w:type="page"/>
      </w:r>
    </w:p>
    <w:p w14:paraId="3FC4E8B2" w14:textId="77777777" w:rsidR="009859C2" w:rsidRPr="00370AFC" w:rsidRDefault="009859C2" w:rsidP="00FC2269">
      <w:pPr>
        <w:rPr>
          <w:rFonts w:ascii="Aptos" w:hAnsi="Aptos"/>
        </w:rPr>
      </w:pPr>
    </w:p>
    <w:p w14:paraId="77B5BFA4" w14:textId="77777777" w:rsidR="00CC5DB1" w:rsidRDefault="00357DBB" w:rsidP="00FC2269">
      <w:pPr>
        <w:rPr>
          <w:rFonts w:ascii="Aptos" w:hAnsi="Aptos"/>
          <w:b/>
          <w:bCs/>
          <w:sz w:val="20"/>
          <w:szCs w:val="20"/>
        </w:rPr>
      </w:pPr>
      <w:r>
        <w:rPr>
          <w:rFonts w:ascii="Aptos" w:hAnsi="Aptos"/>
          <w:noProof/>
          <w:color w:val="0070C0"/>
        </w:rPr>
        <w:drawing>
          <wp:inline distT="0" distB="0" distL="0" distR="0" wp14:anchorId="3F6F563B" wp14:editId="5B7A16BD">
            <wp:extent cx="4103312" cy="3200400"/>
            <wp:effectExtent l="0" t="0" r="0" b="0"/>
            <wp:docPr id="16041647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a:extLst>
                        <a:ext uri="{28A0092B-C50C-407E-A947-70E740481C1C}">
                          <a14:useLocalDpi xmlns:a14="http://schemas.microsoft.com/office/drawing/2010/main" val="0"/>
                        </a:ext>
                      </a:extLst>
                    </a:blip>
                    <a:srcRect r="58053" b="49874"/>
                    <a:stretch>
                      <a:fillRect/>
                    </a:stretch>
                  </pic:blipFill>
                  <pic:spPr bwMode="auto">
                    <a:xfrm>
                      <a:off x="0" y="0"/>
                      <a:ext cx="4116592" cy="3210758"/>
                    </a:xfrm>
                    <a:prstGeom prst="rect">
                      <a:avLst/>
                    </a:prstGeom>
                    <a:noFill/>
                    <a:ln>
                      <a:noFill/>
                    </a:ln>
                    <a:extLst>
                      <a:ext uri="{53640926-AAD7-44D8-BBD7-CCE9431645EC}">
                        <a14:shadowObscured xmlns:a14="http://schemas.microsoft.com/office/drawing/2010/main"/>
                      </a:ext>
                    </a:extLst>
                  </pic:spPr>
                </pic:pic>
              </a:graphicData>
            </a:graphic>
          </wp:inline>
        </w:drawing>
      </w:r>
    </w:p>
    <w:p w14:paraId="345F962F" w14:textId="77777777" w:rsidR="00CC5DB1" w:rsidRDefault="00CC5DB1" w:rsidP="00FC2269">
      <w:pPr>
        <w:rPr>
          <w:rFonts w:ascii="Aptos" w:hAnsi="Aptos"/>
          <w:b/>
          <w:bCs/>
          <w:sz w:val="20"/>
          <w:szCs w:val="20"/>
        </w:rPr>
      </w:pPr>
    </w:p>
    <w:p w14:paraId="3C133B94" w14:textId="52116A7B" w:rsidR="009859C2" w:rsidRDefault="009859C2" w:rsidP="00FC2269">
      <w:pPr>
        <w:rPr>
          <w:rFonts w:ascii="Aptos" w:hAnsi="Aptos"/>
          <w:sz w:val="20"/>
          <w:szCs w:val="20"/>
        </w:rPr>
      </w:pPr>
      <w:r w:rsidRPr="00CC5DB1">
        <w:rPr>
          <w:rFonts w:ascii="Aptos" w:hAnsi="Aptos"/>
          <w:b/>
          <w:bCs/>
          <w:sz w:val="20"/>
          <w:szCs w:val="20"/>
        </w:rPr>
        <w:t xml:space="preserve">Figure </w:t>
      </w:r>
      <w:r w:rsidR="00395450" w:rsidRPr="00CC5DB1">
        <w:rPr>
          <w:rFonts w:ascii="Aptos" w:hAnsi="Aptos"/>
          <w:b/>
          <w:bCs/>
          <w:sz w:val="20"/>
          <w:szCs w:val="20"/>
        </w:rPr>
        <w:t>2</w:t>
      </w:r>
      <w:r w:rsidRPr="00CC5DB1">
        <w:rPr>
          <w:rFonts w:ascii="Aptos" w:hAnsi="Aptos"/>
          <w:sz w:val="20"/>
          <w:szCs w:val="20"/>
        </w:rPr>
        <w:t xml:space="preserve">. Sequence demarcation heat plot, highlighting the protein similarity for the most conserved protein (DNA-dependent RNA polymerase subunit RPB2) among the four viruses. </w:t>
      </w:r>
    </w:p>
    <w:p w14:paraId="012ECF9F" w14:textId="7BDFBF8E" w:rsidR="00CC5DB1" w:rsidRDefault="00CC5DB1" w:rsidP="00FC2269">
      <w:pPr>
        <w:rPr>
          <w:rFonts w:ascii="Aptos" w:hAnsi="Aptos"/>
          <w:sz w:val="20"/>
          <w:szCs w:val="20"/>
        </w:rPr>
      </w:pPr>
    </w:p>
    <w:p w14:paraId="51C49EA6" w14:textId="77777777" w:rsidR="00CC5DB1" w:rsidRDefault="00CC5DB1" w:rsidP="00FC2269">
      <w:pPr>
        <w:rPr>
          <w:rFonts w:ascii="Aptos" w:hAnsi="Aptos"/>
          <w:sz w:val="20"/>
          <w:szCs w:val="20"/>
        </w:rPr>
      </w:pPr>
    </w:p>
    <w:p w14:paraId="79BC1B06" w14:textId="77777777" w:rsidR="00CC5DB1" w:rsidRPr="00CC5DB1" w:rsidRDefault="00CC5DB1" w:rsidP="00FC2269">
      <w:pPr>
        <w:rPr>
          <w:rFonts w:ascii="Aptos" w:hAnsi="Aptos"/>
          <w:sz w:val="20"/>
          <w:szCs w:val="20"/>
        </w:rPr>
      </w:pPr>
    </w:p>
    <w:p w14:paraId="1F251FAC" w14:textId="77777777" w:rsidR="00CC5DB1" w:rsidRDefault="00395450" w:rsidP="00FC2269">
      <w:pPr>
        <w:rPr>
          <w:rFonts w:ascii="Aptos" w:hAnsi="Aptos"/>
          <w:b/>
          <w:bCs/>
          <w:sz w:val="20"/>
          <w:szCs w:val="20"/>
        </w:rPr>
      </w:pPr>
      <w:r>
        <w:rPr>
          <w:rFonts w:ascii="Aptos" w:hAnsi="Aptos"/>
          <w:noProof/>
          <w:color w:val="0070C0"/>
        </w:rPr>
        <w:drawing>
          <wp:inline distT="0" distB="0" distL="0" distR="0" wp14:anchorId="50BA3507" wp14:editId="4406256A">
            <wp:extent cx="2933918" cy="3091218"/>
            <wp:effectExtent l="0" t="0" r="0" b="0"/>
            <wp:docPr id="7506440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35844" cy="3093247"/>
                    </a:xfrm>
                    <a:prstGeom prst="rect">
                      <a:avLst/>
                    </a:prstGeom>
                    <a:noFill/>
                    <a:ln>
                      <a:noFill/>
                    </a:ln>
                  </pic:spPr>
                </pic:pic>
              </a:graphicData>
            </a:graphic>
          </wp:inline>
        </w:drawing>
      </w:r>
    </w:p>
    <w:p w14:paraId="2E715547" w14:textId="77777777" w:rsidR="00CC5DB1" w:rsidRDefault="00CC5DB1" w:rsidP="00FC2269">
      <w:pPr>
        <w:rPr>
          <w:rFonts w:ascii="Aptos" w:hAnsi="Aptos"/>
          <w:b/>
          <w:bCs/>
          <w:sz w:val="20"/>
          <w:szCs w:val="20"/>
        </w:rPr>
      </w:pPr>
    </w:p>
    <w:p w14:paraId="73001110" w14:textId="6E3CD2D6" w:rsidR="00395450" w:rsidRPr="00370AFC" w:rsidRDefault="00395450" w:rsidP="00FC2269">
      <w:pPr>
        <w:rPr>
          <w:rFonts w:ascii="Aptos" w:hAnsi="Aptos"/>
        </w:rPr>
      </w:pPr>
      <w:r w:rsidRPr="00CC5DB1">
        <w:rPr>
          <w:rFonts w:ascii="Aptos" w:hAnsi="Aptos"/>
          <w:b/>
          <w:bCs/>
          <w:sz w:val="20"/>
          <w:szCs w:val="20"/>
        </w:rPr>
        <w:t>Figure 3.</w:t>
      </w:r>
      <w:r w:rsidRPr="00CC5DB1">
        <w:rPr>
          <w:rFonts w:ascii="Aptos" w:hAnsi="Aptos"/>
          <w:sz w:val="20"/>
          <w:szCs w:val="20"/>
        </w:rPr>
        <w:t xml:space="preserve"> A phylogenetic tree initially presented in the open access Subramaniam et al. (2020) to display the branching position of the Mininucleoviridae group and its three members. The original text for the figure is here: “Phylogenetic tree of nucleocytoplasmic large DNA viruses (NCLDVs). The maximum likelihood (ML) tree depicting the relationship of the viruses PaV1, DhV1, and CmV1 to the rest of the NCLDVs is based on the concatenated amino acid sequence alignments of three core genes (major capsid protein, DNA polymerase, and primase-helicase). The bootstrap values are indicated at each node, and the branch lengths reflect the number of inferred substitutions, as indicated by the bar. Virus abbreviations: PaV1, Panulirus argus virus 1; DhV1, Dikerogammarus haemobaphes virus 1; CmV1, Carcinus maenas virus 1.” – Subramaniam et al. (2020)</w:t>
      </w:r>
    </w:p>
    <w:sectPr w:rsidR="00395450" w:rsidRPr="00370AFC" w:rsidSect="00A82FBB">
      <w:headerReference w:type="default" r:id="rId15"/>
      <w:footerReference w:type="default" r:id="rId16"/>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A2258" w14:textId="77777777" w:rsidR="00825D35" w:rsidRDefault="00825D35">
      <w:r>
        <w:separator/>
      </w:r>
    </w:p>
  </w:endnote>
  <w:endnote w:type="continuationSeparator" w:id="0">
    <w:p w14:paraId="39272C74" w14:textId="77777777" w:rsidR="00825D35" w:rsidRDefault="00825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sig w:usb0="E0000AFF" w:usb1="500078FF" w:usb2="00000021" w:usb3="00000000" w:csb0="000001BF" w:csb1="00000000"/>
  </w:font>
  <w:font w:name="PingFang SC">
    <w:charset w:val="86"/>
    <w:family w:val="swiss"/>
    <w:pitch w:val="variable"/>
    <w:sig w:usb0="A00002FF" w:usb1="7ACFFDFB" w:usb2="00000017" w:usb3="00000000" w:csb0="00040001" w:csb1="00000000"/>
  </w:font>
  <w:font w:name="Arial Unicode MS">
    <w:altName w:val="Yu Gothic"/>
    <w:panose1 w:val="020B0604020202020204"/>
    <w:charset w:val="00"/>
    <w:family w:val="auto"/>
    <w:pitch w:val="default"/>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B16DA5" w14:textId="77777777" w:rsidR="00825D35" w:rsidRDefault="00825D35">
      <w:r>
        <w:separator/>
      </w:r>
    </w:p>
  </w:footnote>
  <w:footnote w:type="continuationSeparator" w:id="0">
    <w:p w14:paraId="74042489" w14:textId="77777777" w:rsidR="00825D35" w:rsidRDefault="00825D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17BF9"/>
    <w:rsid w:val="00023385"/>
    <w:rsid w:val="00035A87"/>
    <w:rsid w:val="000406E1"/>
    <w:rsid w:val="00040CB0"/>
    <w:rsid w:val="0004176B"/>
    <w:rsid w:val="000449DB"/>
    <w:rsid w:val="0006212F"/>
    <w:rsid w:val="0008012E"/>
    <w:rsid w:val="000A146A"/>
    <w:rsid w:val="000A7027"/>
    <w:rsid w:val="000B1BF3"/>
    <w:rsid w:val="000B5D78"/>
    <w:rsid w:val="000B6878"/>
    <w:rsid w:val="000D182E"/>
    <w:rsid w:val="000E54FF"/>
    <w:rsid w:val="000F51F4"/>
    <w:rsid w:val="000F7067"/>
    <w:rsid w:val="00106232"/>
    <w:rsid w:val="0011008F"/>
    <w:rsid w:val="00117C72"/>
    <w:rsid w:val="0013113D"/>
    <w:rsid w:val="001322FC"/>
    <w:rsid w:val="001356E4"/>
    <w:rsid w:val="00171083"/>
    <w:rsid w:val="00172351"/>
    <w:rsid w:val="001A560E"/>
    <w:rsid w:val="001D0007"/>
    <w:rsid w:val="001D3E3E"/>
    <w:rsid w:val="00220A26"/>
    <w:rsid w:val="002312CE"/>
    <w:rsid w:val="0023149A"/>
    <w:rsid w:val="0023696B"/>
    <w:rsid w:val="0024086E"/>
    <w:rsid w:val="0025498B"/>
    <w:rsid w:val="00273642"/>
    <w:rsid w:val="00296DA3"/>
    <w:rsid w:val="002A1E23"/>
    <w:rsid w:val="002A5A83"/>
    <w:rsid w:val="002D4340"/>
    <w:rsid w:val="002D596C"/>
    <w:rsid w:val="002F7565"/>
    <w:rsid w:val="00327E73"/>
    <w:rsid w:val="00333392"/>
    <w:rsid w:val="00334462"/>
    <w:rsid w:val="00355CE0"/>
    <w:rsid w:val="00357DBB"/>
    <w:rsid w:val="00363A30"/>
    <w:rsid w:val="00370AFC"/>
    <w:rsid w:val="0037243A"/>
    <w:rsid w:val="003817D1"/>
    <w:rsid w:val="00382FE8"/>
    <w:rsid w:val="00383BBF"/>
    <w:rsid w:val="00385125"/>
    <w:rsid w:val="0038593F"/>
    <w:rsid w:val="00395450"/>
    <w:rsid w:val="003A166F"/>
    <w:rsid w:val="003A18C5"/>
    <w:rsid w:val="003A5ED7"/>
    <w:rsid w:val="003B0883"/>
    <w:rsid w:val="003B3832"/>
    <w:rsid w:val="003C5428"/>
    <w:rsid w:val="003E0AEA"/>
    <w:rsid w:val="003F2A97"/>
    <w:rsid w:val="0043110C"/>
    <w:rsid w:val="00437970"/>
    <w:rsid w:val="00471256"/>
    <w:rsid w:val="004A3BA8"/>
    <w:rsid w:val="004B4E94"/>
    <w:rsid w:val="004F2F1E"/>
    <w:rsid w:val="004F3196"/>
    <w:rsid w:val="00502BEA"/>
    <w:rsid w:val="00536426"/>
    <w:rsid w:val="00543F86"/>
    <w:rsid w:val="0055461D"/>
    <w:rsid w:val="0058465A"/>
    <w:rsid w:val="00590DF3"/>
    <w:rsid w:val="005A54C3"/>
    <w:rsid w:val="005B4C7D"/>
    <w:rsid w:val="006043FB"/>
    <w:rsid w:val="00607227"/>
    <w:rsid w:val="006109F7"/>
    <w:rsid w:val="00647814"/>
    <w:rsid w:val="0067795B"/>
    <w:rsid w:val="00683D0C"/>
    <w:rsid w:val="00683D78"/>
    <w:rsid w:val="0069192D"/>
    <w:rsid w:val="006B7AB8"/>
    <w:rsid w:val="006C0F51"/>
    <w:rsid w:val="006D18F6"/>
    <w:rsid w:val="006D428E"/>
    <w:rsid w:val="006F33B7"/>
    <w:rsid w:val="00723577"/>
    <w:rsid w:val="0072682D"/>
    <w:rsid w:val="00736440"/>
    <w:rsid w:val="00737875"/>
    <w:rsid w:val="00740A3F"/>
    <w:rsid w:val="00741880"/>
    <w:rsid w:val="007B0F70"/>
    <w:rsid w:val="007B6511"/>
    <w:rsid w:val="007E0EF5"/>
    <w:rsid w:val="007E3FAE"/>
    <w:rsid w:val="007E667B"/>
    <w:rsid w:val="00822B3A"/>
    <w:rsid w:val="00824208"/>
    <w:rsid w:val="00825D35"/>
    <w:rsid w:val="008308A0"/>
    <w:rsid w:val="00852D43"/>
    <w:rsid w:val="00865726"/>
    <w:rsid w:val="008815EE"/>
    <w:rsid w:val="00883A5C"/>
    <w:rsid w:val="008A22E9"/>
    <w:rsid w:val="008B43B1"/>
    <w:rsid w:val="008F51E2"/>
    <w:rsid w:val="00901EBC"/>
    <w:rsid w:val="00903048"/>
    <w:rsid w:val="009078FF"/>
    <w:rsid w:val="009457C8"/>
    <w:rsid w:val="00953FFE"/>
    <w:rsid w:val="00964F7C"/>
    <w:rsid w:val="009703AF"/>
    <w:rsid w:val="00974174"/>
    <w:rsid w:val="009741D1"/>
    <w:rsid w:val="00974C28"/>
    <w:rsid w:val="00976E37"/>
    <w:rsid w:val="009859C2"/>
    <w:rsid w:val="009A3B4A"/>
    <w:rsid w:val="009C5271"/>
    <w:rsid w:val="009E1CF2"/>
    <w:rsid w:val="009F7856"/>
    <w:rsid w:val="00A10BA1"/>
    <w:rsid w:val="00A174CC"/>
    <w:rsid w:val="00A2357C"/>
    <w:rsid w:val="00A443CA"/>
    <w:rsid w:val="00A6309D"/>
    <w:rsid w:val="00A71C40"/>
    <w:rsid w:val="00A77B8E"/>
    <w:rsid w:val="00A82FBB"/>
    <w:rsid w:val="00AA4711"/>
    <w:rsid w:val="00AD201A"/>
    <w:rsid w:val="00AD2884"/>
    <w:rsid w:val="00AD5A3A"/>
    <w:rsid w:val="00AD759B"/>
    <w:rsid w:val="00AE2E79"/>
    <w:rsid w:val="00AE528C"/>
    <w:rsid w:val="00AF4998"/>
    <w:rsid w:val="00B01C16"/>
    <w:rsid w:val="00B03B7F"/>
    <w:rsid w:val="00B1187F"/>
    <w:rsid w:val="00B35CC8"/>
    <w:rsid w:val="00B47589"/>
    <w:rsid w:val="00BC2DC2"/>
    <w:rsid w:val="00BD6C0B"/>
    <w:rsid w:val="00BD7967"/>
    <w:rsid w:val="00BE4F5A"/>
    <w:rsid w:val="00C321B1"/>
    <w:rsid w:val="00C55633"/>
    <w:rsid w:val="00C8775F"/>
    <w:rsid w:val="00C95FB7"/>
    <w:rsid w:val="00CC5DB1"/>
    <w:rsid w:val="00CD2C82"/>
    <w:rsid w:val="00CF59EA"/>
    <w:rsid w:val="00D04287"/>
    <w:rsid w:val="00D062BE"/>
    <w:rsid w:val="00D10857"/>
    <w:rsid w:val="00D13AD5"/>
    <w:rsid w:val="00D23567"/>
    <w:rsid w:val="00D46663"/>
    <w:rsid w:val="00D5170B"/>
    <w:rsid w:val="00D77E1C"/>
    <w:rsid w:val="00DD58AA"/>
    <w:rsid w:val="00DE01F5"/>
    <w:rsid w:val="00E034BE"/>
    <w:rsid w:val="00E04885"/>
    <w:rsid w:val="00E345B4"/>
    <w:rsid w:val="00E37077"/>
    <w:rsid w:val="00E50727"/>
    <w:rsid w:val="00E863D4"/>
    <w:rsid w:val="00E92794"/>
    <w:rsid w:val="00E969AE"/>
    <w:rsid w:val="00ED4569"/>
    <w:rsid w:val="00EE484F"/>
    <w:rsid w:val="00EF2448"/>
    <w:rsid w:val="00F110F7"/>
    <w:rsid w:val="00F46E48"/>
    <w:rsid w:val="00F62692"/>
    <w:rsid w:val="00F711CE"/>
    <w:rsid w:val="00F74510"/>
    <w:rsid w:val="00F9028E"/>
    <w:rsid w:val="00F911F1"/>
    <w:rsid w:val="00F943F9"/>
    <w:rsid w:val="00FA1DC3"/>
    <w:rsid w:val="00FB300C"/>
    <w:rsid w:val="00FC2269"/>
    <w:rsid w:val="00FF4171"/>
    <w:rsid w:val="00FF68DD"/>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A560E"/>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tv.global/taxonomy/template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ictv.global/sc" TargetMode="External"/><Relationship Id="rId4" Type="http://schemas.openxmlformats.org/officeDocument/2006/relationships/settings" Target="settings.xml"/><Relationship Id="rId9" Type="http://schemas.openxmlformats.org/officeDocument/2006/relationships/hyperlink" Target="https://ictv.global/taxonomy/templates" TargetMode="Externa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052af4ff-75cf-48be-9503-79741c0f580d}" enabled="1" method="Standard" siteId="{43d2115b-a55e-46b6-9df7-b03388ecfc60}" contentBits="0" removed="0"/>
</clbl:labelList>
</file>

<file path=docProps/app.xml><?xml version="1.0" encoding="utf-8"?>
<Properties xmlns="http://schemas.openxmlformats.org/officeDocument/2006/extended-properties" xmlns:vt="http://schemas.openxmlformats.org/officeDocument/2006/docPropsVTypes">
  <Template>Normal.dotm</Template>
  <TotalTime>12</TotalTime>
  <Pages>8</Pages>
  <Words>1943</Words>
  <Characters>11078</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7</cp:revision>
  <dcterms:created xsi:type="dcterms:W3CDTF">2026-08-07T15:32:00Z</dcterms:created>
  <dcterms:modified xsi:type="dcterms:W3CDTF">2026-10-06T17:28:00Z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