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7AB29B0C"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F2A97">
        <w:rPr>
          <w:rFonts w:ascii="Aptos SemiBold" w:hAnsi="Aptos SemiBold" w:cs="Arial"/>
          <w:color w:val="000000" w:themeColor="text1"/>
        </w:rPr>
        <w:t>5</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4A34B23" w14:textId="50B3DCDF" w:rsidR="00F260A1" w:rsidRPr="00F260A1" w:rsidRDefault="00F260A1" w:rsidP="00F260A1">
            <w:pPr>
              <w:rPr>
                <w:rFonts w:ascii="Aptos" w:hAnsi="Aptos" w:cs="Arial"/>
                <w:color w:val="000000" w:themeColor="text1"/>
                <w:sz w:val="20"/>
              </w:rPr>
            </w:pPr>
            <w:r>
              <w:rPr>
                <w:rFonts w:ascii="Aptos" w:hAnsi="Aptos" w:cs="Arial"/>
                <w:color w:val="000000" w:themeColor="text1"/>
                <w:sz w:val="20"/>
              </w:rPr>
              <w:t xml:space="preserve">Create </w:t>
            </w:r>
            <w:r w:rsidR="00253B21">
              <w:rPr>
                <w:rFonts w:ascii="Aptos" w:hAnsi="Aptos" w:cs="Arial"/>
                <w:color w:val="000000" w:themeColor="text1"/>
                <w:sz w:val="20"/>
              </w:rPr>
              <w:t xml:space="preserve">a novel </w:t>
            </w:r>
            <w:r w:rsidR="000E5D9B">
              <w:rPr>
                <w:rFonts w:ascii="Aptos" w:hAnsi="Aptos" w:cs="Arial"/>
                <w:color w:val="000000" w:themeColor="text1"/>
                <w:sz w:val="20"/>
              </w:rPr>
              <w:t xml:space="preserve">genus </w:t>
            </w:r>
            <w:r w:rsidR="0066271F">
              <w:rPr>
                <w:rFonts w:ascii="Aptos" w:hAnsi="Aptos" w:cs="Arial"/>
                <w:color w:val="000000" w:themeColor="text1"/>
                <w:sz w:val="20"/>
              </w:rPr>
              <w:t>within the</w:t>
            </w:r>
            <w:r w:rsidR="000E5D9B">
              <w:rPr>
                <w:rFonts w:ascii="Aptos" w:hAnsi="Aptos" w:cs="Arial"/>
                <w:color w:val="000000" w:themeColor="text1"/>
                <w:sz w:val="20"/>
              </w:rPr>
              <w:t xml:space="preserve"> </w:t>
            </w:r>
            <w:r w:rsidR="00253B21">
              <w:rPr>
                <w:rFonts w:ascii="Aptos" w:hAnsi="Aptos" w:cs="Arial"/>
                <w:color w:val="000000" w:themeColor="text1"/>
                <w:sz w:val="20"/>
              </w:rPr>
              <w:t xml:space="preserve">Family </w:t>
            </w:r>
            <w:r w:rsidR="00253B21" w:rsidRPr="00477F66">
              <w:rPr>
                <w:rFonts w:ascii="Aptos" w:hAnsi="Aptos" w:cs="Arial"/>
                <w:i/>
                <w:iCs/>
                <w:color w:val="000000" w:themeColor="text1"/>
                <w:sz w:val="20"/>
              </w:rPr>
              <w:t>Phenuiviridae</w:t>
            </w:r>
            <w:r w:rsidR="00253B21">
              <w:rPr>
                <w:rFonts w:ascii="Aptos" w:hAnsi="Aptos" w:cs="Arial"/>
                <w:color w:val="000000" w:themeColor="text1"/>
                <w:sz w:val="20"/>
              </w:rPr>
              <w:t xml:space="preserve"> </w:t>
            </w:r>
            <w:r w:rsidR="000E5D9B">
              <w:rPr>
                <w:rFonts w:ascii="Aptos" w:hAnsi="Aptos" w:cs="Arial"/>
                <w:color w:val="000000" w:themeColor="text1"/>
                <w:sz w:val="20"/>
              </w:rPr>
              <w:t>:</w:t>
            </w:r>
            <w:r w:rsidR="00253B21">
              <w:rPr>
                <w:rFonts w:ascii="Aptos" w:hAnsi="Aptos" w:cs="Arial"/>
                <w:color w:val="000000" w:themeColor="text1"/>
                <w:sz w:val="20"/>
              </w:rPr>
              <w:t xml:space="preserve">genus </w:t>
            </w:r>
            <w:r w:rsidR="0066271F" w:rsidRPr="00477F66">
              <w:rPr>
                <w:rFonts w:ascii="Aptos" w:hAnsi="Aptos" w:cs="Arial"/>
                <w:i/>
                <w:iCs/>
                <w:color w:val="000000" w:themeColor="text1"/>
                <w:sz w:val="20"/>
              </w:rPr>
              <w:t>C</w:t>
            </w:r>
            <w:r w:rsidR="000E5D9B" w:rsidRPr="00477F66">
              <w:rPr>
                <w:rFonts w:ascii="Aptos" w:hAnsi="Aptos" w:cs="Arial"/>
                <w:i/>
                <w:iCs/>
                <w:color w:val="000000" w:themeColor="text1"/>
                <w:sz w:val="20"/>
              </w:rPr>
              <w:t>otylvirus</w:t>
            </w:r>
            <w:r w:rsidR="000E5D9B" w:rsidRPr="000E5D9B" w:rsidDel="000E5D9B">
              <w:rPr>
                <w:rFonts w:ascii="Aptos" w:hAnsi="Aptos" w:cs="Arial"/>
                <w:color w:val="000000" w:themeColor="text1"/>
                <w:sz w:val="20"/>
              </w:rPr>
              <w:t xml:space="preserve"> </w:t>
            </w:r>
            <w:r w:rsidR="00253B21">
              <w:rPr>
                <w:rFonts w:ascii="Aptos" w:hAnsi="Aptos" w:cs="Arial"/>
                <w:color w:val="000000" w:themeColor="text1"/>
                <w:sz w:val="20"/>
              </w:rPr>
              <w:t xml:space="preserve">and </w:t>
            </w:r>
            <w:r w:rsidR="00D56552">
              <w:rPr>
                <w:rFonts w:ascii="Aptos" w:hAnsi="Aptos" w:cs="Arial"/>
                <w:color w:val="000000" w:themeColor="text1"/>
                <w:sz w:val="20"/>
              </w:rPr>
              <w:t>7</w:t>
            </w:r>
            <w:r w:rsidR="00253B21">
              <w:rPr>
                <w:rFonts w:ascii="Aptos" w:hAnsi="Aptos" w:cs="Arial"/>
                <w:color w:val="000000" w:themeColor="text1"/>
                <w:sz w:val="20"/>
              </w:rPr>
              <w:t xml:space="preserve"> novel species </w:t>
            </w:r>
          </w:p>
          <w:p w14:paraId="693BF175" w14:textId="678673CD" w:rsidR="00E37077" w:rsidRPr="00F260A1" w:rsidRDefault="00E37077" w:rsidP="00DD58AA">
            <w:pPr>
              <w:rPr>
                <w:rFonts w:ascii="Aptos" w:hAnsi="Aptos" w:cs="Arial"/>
                <w:i/>
                <w:iCs/>
                <w:color w:val="000000" w:themeColor="text1"/>
                <w:sz w:val="20"/>
              </w:rPr>
            </w:pP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B928306" w:rsidR="00E37077" w:rsidRPr="0006101F" w:rsidRDefault="0006101F" w:rsidP="00DD58AA">
            <w:pPr>
              <w:pStyle w:val="BodyTextIndent"/>
              <w:ind w:left="0" w:firstLine="0"/>
              <w:rPr>
                <w:rFonts w:ascii="Aptos" w:hAnsi="Aptos" w:cs="Arial"/>
                <w:bCs/>
                <w:iCs/>
                <w:sz w:val="20"/>
              </w:rPr>
            </w:pPr>
            <w:r w:rsidRPr="0006101F">
              <w:rPr>
                <w:rFonts w:ascii="Aptos" w:hAnsi="Aptos" w:cs="Arial"/>
                <w:bCs/>
                <w:iCs/>
                <w:sz w:val="20"/>
              </w:rPr>
              <w:t>2026.001M.N.v2.Phenuiviridae_1ng_7ns</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850"/>
        <w:gridCol w:w="3686"/>
        <w:gridCol w:w="1803"/>
        <w:gridCol w:w="1571"/>
      </w:tblGrid>
      <w:tr w:rsidR="002D4340" w14:paraId="46D8D295" w14:textId="4B68158E" w:rsidTr="00DE01F5">
        <w:trPr>
          <w:trHeight w:val="173"/>
        </w:trPr>
        <w:tc>
          <w:tcPr>
            <w:tcW w:w="9323" w:type="dxa"/>
            <w:gridSpan w:val="5"/>
            <w:shd w:val="clear" w:color="auto" w:fill="F2F2F2" w:themeFill="background1" w:themeFillShade="F2"/>
          </w:tcPr>
          <w:p w14:paraId="730FC69E" w14:textId="59FE57F3"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E863D4">
        <w:trPr>
          <w:trHeight w:val="411"/>
        </w:trPr>
        <w:tc>
          <w:tcPr>
            <w:tcW w:w="1413" w:type="dxa"/>
            <w:shd w:val="clear" w:color="auto" w:fill="F2F2F2" w:themeFill="background1" w:themeFillShade="F2"/>
            <w:vAlign w:val="center"/>
          </w:tcPr>
          <w:p w14:paraId="52C384EB" w14:textId="34CFE99C" w:rsidR="002D4340" w:rsidRPr="009A3B4A" w:rsidRDefault="002D4340" w:rsidP="00DD58AA">
            <w:pPr>
              <w:rPr>
                <w:rFonts w:ascii="Aptos" w:hAnsi="Aptos" w:cs="Arial"/>
                <w:sz w:val="18"/>
                <w:szCs w:val="18"/>
              </w:rPr>
            </w:pPr>
            <w:r>
              <w:rPr>
                <w:rFonts w:ascii="Aptos" w:hAnsi="Aptos" w:cs="Arial"/>
                <w:b/>
                <w:sz w:val="20"/>
                <w:szCs w:val="20"/>
              </w:rPr>
              <w:t>Surn</w:t>
            </w:r>
            <w:r w:rsidRPr="009A3B4A">
              <w:rPr>
                <w:rFonts w:ascii="Aptos" w:hAnsi="Aptos" w:cs="Arial"/>
                <w:b/>
                <w:sz w:val="20"/>
                <w:szCs w:val="20"/>
              </w:rPr>
              <w:t xml:space="preserve">ame </w:t>
            </w:r>
          </w:p>
        </w:tc>
        <w:tc>
          <w:tcPr>
            <w:tcW w:w="850" w:type="dxa"/>
            <w:shd w:val="clear" w:color="auto" w:fill="F2F2F2" w:themeFill="background1" w:themeFillShade="F2"/>
            <w:vAlign w:val="center"/>
          </w:tcPr>
          <w:p w14:paraId="27F787B1" w14:textId="521CB6CE" w:rsidR="002D4340" w:rsidRPr="009A3B4A" w:rsidRDefault="002D4340" w:rsidP="00DD58AA">
            <w:pPr>
              <w:rPr>
                <w:rFonts w:ascii="Aptos" w:hAnsi="Aptos" w:cs="Arial"/>
                <w:b/>
                <w:sz w:val="20"/>
                <w:szCs w:val="20"/>
              </w:rPr>
            </w:pPr>
            <w:r>
              <w:rPr>
                <w:rFonts w:ascii="Aptos" w:hAnsi="Aptos" w:cs="Arial"/>
                <w:b/>
                <w:sz w:val="20"/>
                <w:szCs w:val="20"/>
              </w:rPr>
              <w:t>Initials</w:t>
            </w:r>
          </w:p>
        </w:tc>
        <w:tc>
          <w:tcPr>
            <w:tcW w:w="3686" w:type="dxa"/>
            <w:shd w:val="clear" w:color="auto" w:fill="F2F2F2" w:themeFill="background1" w:themeFillShade="F2"/>
            <w:vAlign w:val="center"/>
          </w:tcPr>
          <w:p w14:paraId="31CF02AA" w14:textId="5BEF398A"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1803" w:type="dxa"/>
            <w:shd w:val="clear" w:color="auto" w:fill="F2F2F2" w:themeFill="background1" w:themeFillShade="F2"/>
            <w:vAlign w:val="center"/>
          </w:tcPr>
          <w:p w14:paraId="6DA5FEAF" w14:textId="037F3795"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571" w:type="dxa"/>
            <w:shd w:val="clear" w:color="auto" w:fill="F2F2F2" w:themeFill="background1" w:themeFillShade="F2"/>
            <w:vAlign w:val="center"/>
          </w:tcPr>
          <w:p w14:paraId="1F78D756" w14:textId="4320B26A" w:rsidR="002D4340" w:rsidRPr="008B7951" w:rsidRDefault="002D4340" w:rsidP="00AF4998">
            <w:pPr>
              <w:rPr>
                <w:rFonts w:ascii="Aptos" w:hAnsi="Aptos" w:cs="Arial"/>
                <w:b/>
                <w:sz w:val="20"/>
                <w:szCs w:val="20"/>
              </w:rPr>
            </w:pPr>
            <w:r w:rsidRPr="00C95FB7">
              <w:rPr>
                <w:rFonts w:ascii="Aptos" w:hAnsi="Aptos" w:cs="Arial"/>
                <w:b/>
                <w:sz w:val="20"/>
                <w:szCs w:val="20"/>
              </w:rPr>
              <w:t>Corresponding author</w:t>
            </w:r>
            <w:r>
              <w:rPr>
                <w:rFonts w:ascii="Aptos" w:hAnsi="Aptos" w:cs="Arial"/>
                <w:b/>
                <w:sz w:val="20"/>
                <w:szCs w:val="20"/>
              </w:rPr>
              <w:t xml:space="preserve">(s)  </w:t>
            </w:r>
          </w:p>
        </w:tc>
      </w:tr>
      <w:tr w:rsidR="002D4340" w14:paraId="24E4F537" w14:textId="79E9BB15" w:rsidTr="00E863D4">
        <w:tc>
          <w:tcPr>
            <w:tcW w:w="1413" w:type="dxa"/>
            <w:shd w:val="clear" w:color="auto" w:fill="FFFFFF" w:themeFill="background1"/>
            <w:vAlign w:val="center"/>
          </w:tcPr>
          <w:p w14:paraId="6EA9DED5" w14:textId="675830E4"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rPr>
              <w:t>Dheilly</w:t>
            </w:r>
          </w:p>
        </w:tc>
        <w:tc>
          <w:tcPr>
            <w:tcW w:w="850" w:type="dxa"/>
            <w:shd w:val="clear" w:color="auto" w:fill="FFFFFF" w:themeFill="background1"/>
            <w:vAlign w:val="center"/>
          </w:tcPr>
          <w:p w14:paraId="2759B022" w14:textId="3D589B8E"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rPr>
              <w:t>NMD</w:t>
            </w:r>
          </w:p>
        </w:tc>
        <w:tc>
          <w:tcPr>
            <w:tcW w:w="3686" w:type="dxa"/>
            <w:shd w:val="clear" w:color="auto" w:fill="FFFFFF" w:themeFill="background1"/>
            <w:vAlign w:val="center"/>
          </w:tcPr>
          <w:p w14:paraId="05D68F1D" w14:textId="41C01364"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lang w:val="en-NZ"/>
              </w:rPr>
              <w:t>Institut Pasteur, Pathogen Discovery laboratory</w:t>
            </w:r>
          </w:p>
        </w:tc>
        <w:tc>
          <w:tcPr>
            <w:tcW w:w="1803" w:type="dxa"/>
            <w:shd w:val="clear" w:color="auto" w:fill="FFFFFF" w:themeFill="background1"/>
            <w:vAlign w:val="center"/>
          </w:tcPr>
          <w:p w14:paraId="133CF739" w14:textId="00B4B42E" w:rsidR="002D4340" w:rsidRPr="00CD2C82" w:rsidRDefault="00253B21" w:rsidP="00E863D4">
            <w:pPr>
              <w:rPr>
                <w:rFonts w:ascii="Aptos" w:hAnsi="Aptos" w:cs="Arial"/>
                <w:bCs/>
                <w:color w:val="000000" w:themeColor="text1"/>
                <w:sz w:val="20"/>
                <w:szCs w:val="20"/>
              </w:rPr>
            </w:pPr>
            <w:r>
              <w:rPr>
                <w:rFonts w:ascii="Aptos" w:hAnsi="Aptos" w:cs="Arial"/>
                <w:bCs/>
                <w:color w:val="000000" w:themeColor="text1"/>
                <w:sz w:val="20"/>
                <w:szCs w:val="20"/>
              </w:rPr>
              <w:t>nolwenn.dheilly@pasteur.fr</w:t>
            </w:r>
          </w:p>
        </w:tc>
        <w:tc>
          <w:tcPr>
            <w:tcW w:w="1571" w:type="dxa"/>
            <w:shd w:val="clear" w:color="auto" w:fill="FFFFFF" w:themeFill="background1"/>
            <w:vAlign w:val="center"/>
          </w:tcPr>
          <w:p w14:paraId="16BB015A" w14:textId="3E42C6FF" w:rsidR="002D4340" w:rsidRPr="00CD2C82" w:rsidRDefault="00F260A1"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E863D4">
        <w:tc>
          <w:tcPr>
            <w:tcW w:w="1413" w:type="dxa"/>
            <w:vAlign w:val="center"/>
          </w:tcPr>
          <w:p w14:paraId="7E9FF899" w14:textId="4ADEBAF5"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rPr>
              <w:t>Capai</w:t>
            </w:r>
          </w:p>
        </w:tc>
        <w:tc>
          <w:tcPr>
            <w:tcW w:w="850" w:type="dxa"/>
            <w:vAlign w:val="center"/>
          </w:tcPr>
          <w:p w14:paraId="065089F1" w14:textId="6BA8B6F6"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rPr>
              <w:t>LC</w:t>
            </w:r>
          </w:p>
        </w:tc>
        <w:tc>
          <w:tcPr>
            <w:tcW w:w="3686" w:type="dxa"/>
            <w:vAlign w:val="center"/>
          </w:tcPr>
          <w:p w14:paraId="5A10F992" w14:textId="68B5A9C8"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lang w:val="en-NZ"/>
              </w:rPr>
              <w:t>Institut Pasteur, Pathogen Discovery laboratory</w:t>
            </w:r>
          </w:p>
        </w:tc>
        <w:tc>
          <w:tcPr>
            <w:tcW w:w="1803" w:type="dxa"/>
            <w:vAlign w:val="center"/>
          </w:tcPr>
          <w:p w14:paraId="584336C5" w14:textId="1B37B305" w:rsidR="002D4340" w:rsidRPr="00CD2C82" w:rsidRDefault="000E5D9B" w:rsidP="00E863D4">
            <w:pPr>
              <w:rPr>
                <w:rFonts w:ascii="Aptos" w:hAnsi="Aptos" w:cs="Arial"/>
                <w:bCs/>
                <w:color w:val="000000" w:themeColor="text1"/>
                <w:sz w:val="20"/>
                <w:szCs w:val="20"/>
              </w:rPr>
            </w:pPr>
            <w:r>
              <w:rPr>
                <w:rFonts w:ascii="Aptos" w:hAnsi="Aptos" w:cs="Arial"/>
                <w:bCs/>
                <w:color w:val="000000" w:themeColor="text1"/>
                <w:sz w:val="20"/>
                <w:szCs w:val="20"/>
              </w:rPr>
              <w:t>lisandru.capai@pasteur.fr</w:t>
            </w:r>
          </w:p>
        </w:tc>
        <w:tc>
          <w:tcPr>
            <w:tcW w:w="1571"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E863D4">
        <w:tc>
          <w:tcPr>
            <w:tcW w:w="1413" w:type="dxa"/>
            <w:vAlign w:val="center"/>
          </w:tcPr>
          <w:p w14:paraId="7C1B4F79" w14:textId="2E2E77B1" w:rsidR="002D4340" w:rsidRPr="00CD2C82" w:rsidRDefault="002D4340" w:rsidP="00E863D4">
            <w:pPr>
              <w:rPr>
                <w:rFonts w:ascii="Aptos" w:hAnsi="Aptos" w:cs="Arial"/>
                <w:bCs/>
                <w:color w:val="000000" w:themeColor="text1"/>
                <w:sz w:val="20"/>
                <w:szCs w:val="20"/>
              </w:rPr>
            </w:pPr>
          </w:p>
        </w:tc>
        <w:tc>
          <w:tcPr>
            <w:tcW w:w="850" w:type="dxa"/>
            <w:vAlign w:val="center"/>
          </w:tcPr>
          <w:p w14:paraId="5E41446B" w14:textId="47B29E10" w:rsidR="002D4340" w:rsidRPr="00CD2C82" w:rsidRDefault="002D4340" w:rsidP="00E863D4">
            <w:pPr>
              <w:rPr>
                <w:rFonts w:ascii="Aptos" w:hAnsi="Aptos" w:cs="Arial"/>
                <w:bCs/>
                <w:color w:val="000000" w:themeColor="text1"/>
                <w:sz w:val="20"/>
                <w:szCs w:val="20"/>
              </w:rPr>
            </w:pPr>
          </w:p>
        </w:tc>
        <w:tc>
          <w:tcPr>
            <w:tcW w:w="3686" w:type="dxa"/>
            <w:vAlign w:val="center"/>
          </w:tcPr>
          <w:p w14:paraId="3EC4C5A6" w14:textId="2A66A0B5" w:rsidR="002D4340" w:rsidRPr="00CD2C82" w:rsidRDefault="002D4340" w:rsidP="00E863D4">
            <w:pPr>
              <w:rPr>
                <w:rFonts w:ascii="Aptos" w:hAnsi="Aptos" w:cs="Arial"/>
                <w:bCs/>
                <w:color w:val="000000" w:themeColor="text1"/>
                <w:sz w:val="20"/>
                <w:szCs w:val="20"/>
              </w:rPr>
            </w:pPr>
          </w:p>
        </w:tc>
        <w:tc>
          <w:tcPr>
            <w:tcW w:w="1803" w:type="dxa"/>
            <w:vAlign w:val="center"/>
          </w:tcPr>
          <w:p w14:paraId="1DDF5257" w14:textId="3E3011E0" w:rsidR="002D4340" w:rsidRPr="00CD2C82" w:rsidRDefault="002D4340" w:rsidP="00E863D4">
            <w:pPr>
              <w:rPr>
                <w:rFonts w:ascii="Aptos" w:hAnsi="Aptos" w:cs="Arial"/>
                <w:bCs/>
                <w:color w:val="000000" w:themeColor="text1"/>
                <w:sz w:val="20"/>
                <w:szCs w:val="20"/>
              </w:rPr>
            </w:pPr>
          </w:p>
        </w:tc>
        <w:tc>
          <w:tcPr>
            <w:tcW w:w="1571"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E863D4">
        <w:tc>
          <w:tcPr>
            <w:tcW w:w="1413" w:type="dxa"/>
            <w:vAlign w:val="center"/>
          </w:tcPr>
          <w:p w14:paraId="48A3936E" w14:textId="552A9B36" w:rsidR="002D4340" w:rsidRPr="00CD2C82" w:rsidRDefault="002D4340" w:rsidP="00E863D4">
            <w:pPr>
              <w:rPr>
                <w:rFonts w:ascii="Aptos" w:hAnsi="Aptos" w:cs="Arial"/>
                <w:bCs/>
                <w:color w:val="000000" w:themeColor="text1"/>
                <w:sz w:val="20"/>
                <w:szCs w:val="20"/>
              </w:rPr>
            </w:pPr>
          </w:p>
        </w:tc>
        <w:tc>
          <w:tcPr>
            <w:tcW w:w="850" w:type="dxa"/>
            <w:vAlign w:val="center"/>
          </w:tcPr>
          <w:p w14:paraId="2BEC470C" w14:textId="5E91427A" w:rsidR="002D4340" w:rsidRPr="00CD2C82" w:rsidRDefault="002D4340" w:rsidP="00E863D4">
            <w:pPr>
              <w:rPr>
                <w:rFonts w:ascii="Aptos" w:hAnsi="Aptos" w:cs="Arial"/>
                <w:bCs/>
                <w:color w:val="000000" w:themeColor="text1"/>
                <w:sz w:val="20"/>
                <w:szCs w:val="20"/>
              </w:rPr>
            </w:pPr>
          </w:p>
        </w:tc>
        <w:tc>
          <w:tcPr>
            <w:tcW w:w="3686" w:type="dxa"/>
            <w:vAlign w:val="center"/>
          </w:tcPr>
          <w:p w14:paraId="465BAECA" w14:textId="05B036B0" w:rsidR="002D4340" w:rsidRPr="00CD2C82" w:rsidRDefault="002D4340" w:rsidP="00E863D4">
            <w:pPr>
              <w:rPr>
                <w:rFonts w:ascii="Aptos" w:hAnsi="Aptos" w:cs="Arial"/>
                <w:bCs/>
                <w:color w:val="000000" w:themeColor="text1"/>
                <w:sz w:val="20"/>
                <w:szCs w:val="20"/>
              </w:rPr>
            </w:pPr>
          </w:p>
        </w:tc>
        <w:tc>
          <w:tcPr>
            <w:tcW w:w="1803" w:type="dxa"/>
            <w:vAlign w:val="center"/>
          </w:tcPr>
          <w:p w14:paraId="464D4E54" w14:textId="542EB4C9" w:rsidR="002D4340" w:rsidRPr="00CD2C82" w:rsidRDefault="002D4340" w:rsidP="00E863D4">
            <w:pPr>
              <w:rPr>
                <w:rFonts w:ascii="Aptos" w:hAnsi="Aptos" w:cs="Arial"/>
                <w:bCs/>
                <w:color w:val="000000" w:themeColor="text1"/>
                <w:sz w:val="20"/>
                <w:szCs w:val="20"/>
              </w:rPr>
            </w:pPr>
          </w:p>
        </w:tc>
        <w:tc>
          <w:tcPr>
            <w:tcW w:w="1571"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E863D4">
        <w:tc>
          <w:tcPr>
            <w:tcW w:w="1413" w:type="dxa"/>
            <w:vAlign w:val="center"/>
          </w:tcPr>
          <w:p w14:paraId="31B07DB0" w14:textId="1EDA5B5D" w:rsidR="002D4340" w:rsidRPr="00CD2C82" w:rsidRDefault="002D4340" w:rsidP="00E863D4">
            <w:pPr>
              <w:rPr>
                <w:rFonts w:ascii="Aptos" w:hAnsi="Aptos" w:cs="Arial"/>
                <w:bCs/>
                <w:color w:val="000000" w:themeColor="text1"/>
                <w:sz w:val="20"/>
                <w:szCs w:val="20"/>
              </w:rPr>
            </w:pPr>
          </w:p>
        </w:tc>
        <w:tc>
          <w:tcPr>
            <w:tcW w:w="850" w:type="dxa"/>
            <w:vAlign w:val="center"/>
          </w:tcPr>
          <w:p w14:paraId="007E1446" w14:textId="39EFB82E" w:rsidR="002D4340" w:rsidRPr="00CD2C82" w:rsidRDefault="002D4340" w:rsidP="00E863D4">
            <w:pPr>
              <w:rPr>
                <w:rFonts w:ascii="Aptos" w:hAnsi="Aptos" w:cs="Arial"/>
                <w:bCs/>
                <w:color w:val="000000" w:themeColor="text1"/>
                <w:sz w:val="20"/>
                <w:szCs w:val="20"/>
              </w:rPr>
            </w:pPr>
          </w:p>
        </w:tc>
        <w:tc>
          <w:tcPr>
            <w:tcW w:w="3686" w:type="dxa"/>
            <w:vAlign w:val="center"/>
          </w:tcPr>
          <w:p w14:paraId="5AD29B0F" w14:textId="50E5CEED" w:rsidR="002D4340" w:rsidRPr="00CD2C82" w:rsidRDefault="002D4340" w:rsidP="00E863D4">
            <w:pPr>
              <w:rPr>
                <w:rFonts w:ascii="Aptos" w:hAnsi="Aptos" w:cs="Arial"/>
                <w:bCs/>
                <w:color w:val="000000" w:themeColor="text1"/>
                <w:sz w:val="20"/>
                <w:szCs w:val="20"/>
              </w:rPr>
            </w:pPr>
          </w:p>
        </w:tc>
        <w:tc>
          <w:tcPr>
            <w:tcW w:w="1803" w:type="dxa"/>
            <w:vAlign w:val="center"/>
          </w:tcPr>
          <w:p w14:paraId="5C936B49" w14:textId="1B40428D" w:rsidR="002D4340" w:rsidRPr="00CD2C82" w:rsidRDefault="002D4340" w:rsidP="00E863D4">
            <w:pPr>
              <w:rPr>
                <w:rFonts w:ascii="Aptos" w:hAnsi="Aptos" w:cs="Arial"/>
                <w:bCs/>
                <w:color w:val="000000" w:themeColor="text1"/>
                <w:sz w:val="20"/>
                <w:szCs w:val="20"/>
              </w:rPr>
            </w:pPr>
          </w:p>
        </w:tc>
        <w:tc>
          <w:tcPr>
            <w:tcW w:w="1571" w:type="dxa"/>
            <w:vAlign w:val="center"/>
          </w:tcPr>
          <w:p w14:paraId="1A6F2BF1" w14:textId="713BF4F1" w:rsidR="002D4340" w:rsidRPr="00CD2C82" w:rsidRDefault="002D4340" w:rsidP="00E863D4">
            <w:pPr>
              <w:jc w:val="center"/>
              <w:rPr>
                <w:rFonts w:ascii="Aptos" w:hAnsi="Aptos" w:cs="Arial"/>
                <w:bCs/>
                <w:color w:val="000000" w:themeColor="text1"/>
                <w:sz w:val="20"/>
                <w:szCs w:val="20"/>
              </w:rPr>
            </w:pPr>
          </w:p>
        </w:tc>
      </w:tr>
      <w:tr w:rsidR="002D4340" w14:paraId="4EB04DC5" w14:textId="35F57E1D" w:rsidTr="00E863D4">
        <w:tc>
          <w:tcPr>
            <w:tcW w:w="1413" w:type="dxa"/>
            <w:vAlign w:val="center"/>
          </w:tcPr>
          <w:p w14:paraId="55C69C9A" w14:textId="0B45D6A5" w:rsidR="002D4340" w:rsidRPr="00CD2C82" w:rsidRDefault="002D4340" w:rsidP="00E863D4">
            <w:pPr>
              <w:rPr>
                <w:rFonts w:ascii="Aptos" w:hAnsi="Aptos" w:cs="Arial"/>
                <w:bCs/>
                <w:color w:val="000000" w:themeColor="text1"/>
                <w:sz w:val="20"/>
                <w:szCs w:val="20"/>
              </w:rPr>
            </w:pPr>
          </w:p>
        </w:tc>
        <w:tc>
          <w:tcPr>
            <w:tcW w:w="850" w:type="dxa"/>
            <w:vAlign w:val="center"/>
          </w:tcPr>
          <w:p w14:paraId="4874EED5" w14:textId="11482CFE" w:rsidR="002D4340" w:rsidRPr="00CD2C82" w:rsidRDefault="002D4340" w:rsidP="00E863D4">
            <w:pPr>
              <w:rPr>
                <w:rFonts w:ascii="Aptos" w:hAnsi="Aptos" w:cs="Arial"/>
                <w:bCs/>
                <w:color w:val="000000" w:themeColor="text1"/>
                <w:sz w:val="20"/>
                <w:szCs w:val="20"/>
              </w:rPr>
            </w:pPr>
          </w:p>
        </w:tc>
        <w:tc>
          <w:tcPr>
            <w:tcW w:w="3686" w:type="dxa"/>
            <w:vAlign w:val="center"/>
          </w:tcPr>
          <w:p w14:paraId="3F729D28" w14:textId="20F540F3" w:rsidR="002D4340" w:rsidRPr="00CD2C82" w:rsidRDefault="002D4340" w:rsidP="00E863D4">
            <w:pPr>
              <w:rPr>
                <w:rFonts w:ascii="Aptos" w:hAnsi="Aptos" w:cs="Arial"/>
                <w:bCs/>
                <w:color w:val="000000" w:themeColor="text1"/>
                <w:sz w:val="20"/>
                <w:szCs w:val="20"/>
              </w:rPr>
            </w:pPr>
          </w:p>
        </w:tc>
        <w:tc>
          <w:tcPr>
            <w:tcW w:w="1803" w:type="dxa"/>
            <w:vAlign w:val="center"/>
          </w:tcPr>
          <w:p w14:paraId="2B03DFE0" w14:textId="7B2C3818" w:rsidR="002D4340" w:rsidRPr="00CD2C82" w:rsidRDefault="002D4340" w:rsidP="00E863D4">
            <w:pPr>
              <w:rPr>
                <w:rFonts w:ascii="Aptos" w:hAnsi="Aptos" w:cs="Arial"/>
                <w:bCs/>
                <w:color w:val="000000" w:themeColor="text1"/>
                <w:sz w:val="20"/>
                <w:szCs w:val="20"/>
              </w:rPr>
            </w:pPr>
          </w:p>
        </w:tc>
        <w:tc>
          <w:tcPr>
            <w:tcW w:w="1571" w:type="dxa"/>
            <w:vAlign w:val="center"/>
          </w:tcPr>
          <w:p w14:paraId="25F3F5E7" w14:textId="6A70F903"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7E9FF069"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r w:rsidR="000A7027" w:rsidRPr="00F110F7">
        <w:rPr>
          <w:rFonts w:ascii="Aptos" w:hAnsi="Aptos" w:cs="Arial"/>
          <w:b/>
          <w:color w:val="0070C0"/>
          <w:sz w:val="20"/>
          <w:szCs w:val="20"/>
        </w:rPr>
        <w:t xml:space="preserve"> </w:t>
      </w:r>
    </w:p>
    <w:tbl>
      <w:tblPr>
        <w:tblStyle w:val="TableGrid"/>
        <w:tblW w:w="8505" w:type="dxa"/>
        <w:tblInd w:w="-5" w:type="dxa"/>
        <w:tblLook w:val="04A0" w:firstRow="1" w:lastRow="0" w:firstColumn="1" w:lastColumn="0" w:noHBand="0" w:noVBand="1"/>
      </w:tblPr>
      <w:tblGrid>
        <w:gridCol w:w="3944"/>
        <w:gridCol w:w="336"/>
        <w:gridCol w:w="3899"/>
        <w:gridCol w:w="326"/>
      </w:tblGrid>
      <w:tr w:rsidR="00683D0C" w14:paraId="02C75B6A" w14:textId="77777777" w:rsidTr="00683D0C">
        <w:tc>
          <w:tcPr>
            <w:tcW w:w="8505" w:type="dxa"/>
            <w:gridSpan w:val="4"/>
            <w:shd w:val="clear" w:color="auto" w:fill="F2F2F2" w:themeFill="background1" w:themeFillShade="F2"/>
          </w:tcPr>
          <w:p w14:paraId="0F928364" w14:textId="58D6DEC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29D7CD55" w:rsidR="00D062BE" w:rsidRDefault="00B13A83"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9BC649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r w:rsidR="00382FE8">
              <w:rPr>
                <w:rFonts w:ascii="Aptos" w:eastAsia="Times" w:hAnsi="Aptos" w:cs="Arial"/>
                <w:color w:val="0070C0"/>
                <w:sz w:val="20"/>
                <w:szCs w:val="20"/>
                <w:lang w:eastAsia="en-GB"/>
              </w:rPr>
              <w:t>Su</w:t>
            </w:r>
            <w:r w:rsidRPr="00382FE8">
              <w:rPr>
                <w:rFonts w:ascii="Aptos" w:eastAsia="Times" w:hAnsi="Aptos" w:cs="Arial"/>
                <w:color w:val="0070C0"/>
                <w:sz w:val="20"/>
                <w:szCs w:val="20"/>
                <w:lang w:eastAsia="en-GB"/>
              </w:rPr>
              <w:t>bmit to Proposal</w:t>
            </w:r>
            <w:r w:rsidR="00382FE8">
              <w:rPr>
                <w:rFonts w:ascii="Aptos" w:eastAsia="Times" w:hAnsi="Aptos" w:cs="Arial"/>
                <w:color w:val="0070C0"/>
                <w:sz w:val="20"/>
                <w:szCs w:val="20"/>
                <w:lang w:eastAsia="en-GB"/>
              </w:rPr>
              <w:t>s</w:t>
            </w:r>
            <w:r w:rsidRPr="00382FE8">
              <w:rPr>
                <w:rFonts w:ascii="Aptos" w:eastAsia="Times" w:hAnsi="Aptos" w:cs="Arial"/>
                <w:color w:val="0070C0"/>
                <w:sz w:val="20"/>
                <w:szCs w:val="20"/>
                <w:lang w:eastAsia="en-GB"/>
              </w:rPr>
              <w:t xml:space="preserve"> Secretary</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62D9B9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sidRPr="00F110F7">
              <w:rPr>
                <w:rFonts w:ascii="Aptos" w:hAnsi="Aptos" w:cs="Arial"/>
                <w:color w:val="0070C0"/>
                <w:sz w:val="20"/>
                <w:szCs w:val="20"/>
              </w:rPr>
              <w:t>.</w:t>
            </w:r>
          </w:p>
        </w:tc>
      </w:tr>
      <w:tr w:rsidR="0072682D" w:rsidRPr="000C5189" w14:paraId="0BE0A499" w14:textId="77777777" w:rsidTr="00FC2269">
        <w:trPr>
          <w:trHeight w:val="527"/>
        </w:trPr>
        <w:tc>
          <w:tcPr>
            <w:tcW w:w="8505" w:type="dxa"/>
          </w:tcPr>
          <w:p w14:paraId="7F4EC4CB" w14:textId="04451424" w:rsidR="0072682D" w:rsidRPr="00477F66" w:rsidRDefault="00477F66" w:rsidP="00DD58AA">
            <w:pPr>
              <w:rPr>
                <w:rFonts w:ascii="Aptos" w:hAnsi="Aptos" w:cs="Arial"/>
                <w:sz w:val="20"/>
                <w:szCs w:val="20"/>
              </w:rPr>
            </w:pPr>
            <w:r>
              <w:rPr>
                <w:rFonts w:ascii="Aptos" w:hAnsi="Aptos" w:cs="Arial"/>
                <w:i/>
                <w:iCs/>
                <w:sz w:val="20"/>
                <w:szCs w:val="20"/>
              </w:rPr>
              <w:t xml:space="preserve">Phenuiviridae </w:t>
            </w:r>
            <w:r>
              <w:rPr>
                <w:rFonts w:ascii="Aptos" w:hAnsi="Aptos" w:cs="Arial"/>
                <w:sz w:val="20"/>
                <w:szCs w:val="20"/>
              </w:rPr>
              <w:t>SG</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9224B7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&lt;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32B5659"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7A2C0F">
              <w:rPr>
                <w:rFonts w:ascii="Aptos" w:hAnsi="Aptos" w:cs="Arial"/>
                <w:bCs/>
                <w:sz w:val="20"/>
                <w:szCs w:val="20"/>
              </w:rPr>
              <w:t>24/09/2026</w:t>
            </w:r>
          </w:p>
        </w:tc>
      </w:tr>
    </w:tbl>
    <w:p w14:paraId="18ECE138" w14:textId="7FDEBB4B" w:rsidR="003A18C5" w:rsidRDefault="003A18C5" w:rsidP="003A18C5">
      <w:pPr>
        <w:rPr>
          <w:rFonts w:ascii="Aptos" w:hAnsi="Aptos" w:cs="Arial"/>
          <w:color w:val="0070C0"/>
          <w:sz w:val="20"/>
          <w:szCs w:val="20"/>
        </w:rPr>
      </w:pPr>
    </w:p>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1EC4303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F110F7">
        <w:rPr>
          <w:rFonts w:ascii="Aptos" w:hAnsi="Aptos" w:cs="Arial"/>
          <w:color w:val="0070C0"/>
          <w:sz w:val="20"/>
          <w:szCs w:val="20"/>
        </w:rPr>
        <w:t>&lt;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D685B5C"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F110F7">
        <w:rPr>
          <w:rFonts w:ascii="Aptos" w:hAnsi="Aptos" w:cs="Arial"/>
          <w:color w:val="0070C0"/>
          <w:sz w:val="20"/>
          <w:szCs w:val="20"/>
        </w:rPr>
        <w:t>&gt;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785B39D"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Enter date of the </w:t>
      </w:r>
      <w:r>
        <w:rPr>
          <w:rFonts w:ascii="Aptos" w:hAnsi="Aptos" w:cs="Arial"/>
          <w:color w:val="0070C0"/>
          <w:sz w:val="20"/>
          <w:szCs w:val="20"/>
        </w:rPr>
        <w:t>revised version</w:t>
      </w:r>
      <w:r w:rsidR="001D0007">
        <w:rPr>
          <w:rFonts w:ascii="Aptos" w:hAnsi="Aptos" w:cs="Arial"/>
          <w:color w:val="0070C0"/>
          <w:sz w:val="20"/>
          <w:szCs w:val="20"/>
        </w:rPr>
        <w:t xml:space="preserve"> (DD/MM/YYYY)</w:t>
      </w: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52DC6B26" w14:textId="48F42C99" w:rsidR="006C0F51" w:rsidRPr="00480D09" w:rsidRDefault="006C0F51" w:rsidP="00480D09">
      <w:pPr>
        <w:rPr>
          <w:rFonts w:ascii="Aptos" w:hAnsi="Aptos" w:cs="Arial"/>
          <w:b/>
          <w:color w:val="000000"/>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77777777" w:rsidR="00DD58AA" w:rsidRDefault="00DD58AA"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779C30E"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0F29B5E" w:rsidR="00953FFE" w:rsidRDefault="00A214A0"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77777777" w:rsidR="00333392" w:rsidRDefault="00333392"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869724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r w:rsidR="0024086E" w:rsidRPr="0024086E">
              <w:rPr>
                <w:rFonts w:ascii="Aptos" w:hAnsi="Aptos" w:cs="Arial"/>
                <w:color w:val="0070C0"/>
                <w:sz w:val="20"/>
              </w:rPr>
              <w:t>.</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7AAF5EF0" w14:textId="77777777" w:rsidTr="00040CB0">
        <w:trPr>
          <w:trHeight w:val="71"/>
        </w:trPr>
        <w:tc>
          <w:tcPr>
            <w:tcW w:w="2547" w:type="dxa"/>
            <w:vAlign w:val="center"/>
          </w:tcPr>
          <w:p w14:paraId="24B2DC76" w14:textId="1F2D4097" w:rsidR="00333392" w:rsidRPr="00040CB0" w:rsidRDefault="000E5D9B" w:rsidP="00040CB0">
            <w:pPr>
              <w:jc w:val="both"/>
              <w:rPr>
                <w:rFonts w:ascii="Aptos" w:hAnsi="Aptos" w:cs="Arial"/>
                <w:b/>
                <w:color w:val="000000" w:themeColor="text1"/>
                <w:sz w:val="20"/>
                <w:szCs w:val="20"/>
              </w:rPr>
            </w:pPr>
            <w:r>
              <w:rPr>
                <w:rFonts w:ascii="Aptos" w:hAnsi="Aptos" w:cs="Arial"/>
                <w:b/>
                <w:color w:val="000000" w:themeColor="text1"/>
                <w:sz w:val="20"/>
                <w:szCs w:val="20"/>
              </w:rPr>
              <w:t>Cotylvirus</w:t>
            </w:r>
          </w:p>
        </w:tc>
        <w:tc>
          <w:tcPr>
            <w:tcW w:w="6379" w:type="dxa"/>
            <w:vAlign w:val="center"/>
          </w:tcPr>
          <w:p w14:paraId="7CC05CA7" w14:textId="5C212940" w:rsidR="00333392" w:rsidRPr="00410F16" w:rsidRDefault="0066271F" w:rsidP="00040CB0">
            <w:pPr>
              <w:jc w:val="both"/>
              <w:rPr>
                <w:rFonts w:ascii="Aptos" w:hAnsi="Aptos" w:cs="Arial"/>
                <w:bCs/>
                <w:color w:val="000000" w:themeColor="text1"/>
                <w:sz w:val="20"/>
                <w:szCs w:val="20"/>
              </w:rPr>
            </w:pPr>
            <w:r w:rsidRPr="0066271F">
              <w:rPr>
                <w:rFonts w:ascii="Aptos" w:hAnsi="Aptos" w:cs="Arial"/>
                <w:bCs/>
                <w:color w:val="000000" w:themeColor="text1"/>
                <w:sz w:val="20"/>
                <w:szCs w:val="20"/>
              </w:rPr>
              <w:t>derived from Kotyle, the Greek word for cup/socket, referencing to ventral sucker of trematodes</w:t>
            </w:r>
          </w:p>
        </w:tc>
      </w:tr>
      <w:tr w:rsidR="00253B21" w:rsidRPr="009F7856" w14:paraId="1165141A" w14:textId="77777777" w:rsidTr="00410F16">
        <w:trPr>
          <w:trHeight w:val="71"/>
        </w:trPr>
        <w:tc>
          <w:tcPr>
            <w:tcW w:w="2547" w:type="dxa"/>
            <w:vAlign w:val="center"/>
          </w:tcPr>
          <w:p w14:paraId="2D7AAFF0" w14:textId="7F386DD6" w:rsidR="00253B21" w:rsidRPr="00040CB0"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253B21" w:rsidRPr="00253B21">
              <w:rPr>
                <w:rFonts w:ascii="Aptos" w:hAnsi="Aptos" w:cs="Arial"/>
                <w:b/>
                <w:color w:val="000000" w:themeColor="text1"/>
                <w:sz w:val="20"/>
                <w:szCs w:val="20"/>
              </w:rPr>
              <w:t xml:space="preserve"> japonicum</w:t>
            </w:r>
          </w:p>
        </w:tc>
        <w:tc>
          <w:tcPr>
            <w:tcW w:w="6379" w:type="dxa"/>
            <w:tcBorders>
              <w:top w:val="single" w:sz="4" w:space="0" w:color="auto"/>
              <w:left w:val="single" w:sz="4" w:space="0" w:color="auto"/>
              <w:bottom w:val="single" w:sz="4" w:space="0" w:color="auto"/>
              <w:right w:val="single" w:sz="4" w:space="0" w:color="auto"/>
            </w:tcBorders>
            <w:vAlign w:val="bottom"/>
          </w:tcPr>
          <w:p w14:paraId="56BC5065" w14:textId="5CD7D4FD"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Schistosoma japonicum</w:t>
            </w:r>
          </w:p>
        </w:tc>
      </w:tr>
      <w:tr w:rsidR="00D56552" w:rsidRPr="009F7856" w14:paraId="79E1998D" w14:textId="77777777" w:rsidTr="00410F16">
        <w:trPr>
          <w:trHeight w:val="71"/>
        </w:trPr>
        <w:tc>
          <w:tcPr>
            <w:tcW w:w="2547" w:type="dxa"/>
            <w:vAlign w:val="center"/>
          </w:tcPr>
          <w:p w14:paraId="79DC64E4" w14:textId="32DAB908" w:rsidR="00D56552" w:rsidRPr="00253B21"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D56552">
              <w:rPr>
                <w:rFonts w:ascii="Aptos" w:hAnsi="Aptos" w:cs="Arial"/>
                <w:b/>
                <w:color w:val="000000" w:themeColor="text1"/>
                <w:sz w:val="20"/>
                <w:szCs w:val="20"/>
              </w:rPr>
              <w:t xml:space="preserve"> schistojap</w:t>
            </w:r>
          </w:p>
        </w:tc>
        <w:tc>
          <w:tcPr>
            <w:tcW w:w="6379" w:type="dxa"/>
            <w:tcBorders>
              <w:top w:val="single" w:sz="4" w:space="0" w:color="auto"/>
              <w:left w:val="single" w:sz="4" w:space="0" w:color="auto"/>
              <w:bottom w:val="single" w:sz="4" w:space="0" w:color="auto"/>
              <w:right w:val="single" w:sz="4" w:space="0" w:color="auto"/>
            </w:tcBorders>
            <w:vAlign w:val="bottom"/>
          </w:tcPr>
          <w:p w14:paraId="1717749E" w14:textId="36929369" w:rsidR="00D56552" w:rsidRPr="00410F16" w:rsidRDefault="00D56552" w:rsidP="00253B21">
            <w:pPr>
              <w:jc w:val="both"/>
              <w:rPr>
                <w:rFonts w:ascii="Aptos" w:hAnsi="Aptos" w:cs="Calibri"/>
                <w:color w:val="000000"/>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Schistosoma japonicum</w:t>
            </w:r>
          </w:p>
        </w:tc>
      </w:tr>
      <w:tr w:rsidR="00253B21" w:rsidRPr="009F7856" w14:paraId="67A5B9ED" w14:textId="77777777" w:rsidTr="00410F16">
        <w:trPr>
          <w:trHeight w:val="71"/>
        </w:trPr>
        <w:tc>
          <w:tcPr>
            <w:tcW w:w="2547" w:type="dxa"/>
            <w:vAlign w:val="center"/>
          </w:tcPr>
          <w:p w14:paraId="6136DC73" w14:textId="0BF93F5A" w:rsidR="00253B21" w:rsidRPr="00040CB0"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253B21" w:rsidRPr="00253B21">
              <w:rPr>
                <w:rFonts w:ascii="Aptos" w:hAnsi="Aptos" w:cs="Arial"/>
                <w:b/>
                <w:color w:val="000000" w:themeColor="text1"/>
                <w:sz w:val="20"/>
                <w:szCs w:val="20"/>
              </w:rPr>
              <w:t xml:space="preserve"> sinensis</w:t>
            </w:r>
          </w:p>
        </w:tc>
        <w:tc>
          <w:tcPr>
            <w:tcW w:w="6379" w:type="dxa"/>
            <w:tcBorders>
              <w:top w:val="nil"/>
              <w:left w:val="single" w:sz="4" w:space="0" w:color="auto"/>
              <w:bottom w:val="single" w:sz="4" w:space="0" w:color="auto"/>
              <w:right w:val="single" w:sz="4" w:space="0" w:color="auto"/>
            </w:tcBorders>
            <w:vAlign w:val="bottom"/>
          </w:tcPr>
          <w:p w14:paraId="10B41567" w14:textId="5F12DC47"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Clonorchis sinensis</w:t>
            </w:r>
          </w:p>
        </w:tc>
      </w:tr>
      <w:tr w:rsidR="00253B21" w:rsidRPr="009F7856" w14:paraId="2B1F88DC" w14:textId="77777777" w:rsidTr="00410F16">
        <w:trPr>
          <w:trHeight w:val="71"/>
        </w:trPr>
        <w:tc>
          <w:tcPr>
            <w:tcW w:w="2547" w:type="dxa"/>
            <w:vAlign w:val="center"/>
          </w:tcPr>
          <w:p w14:paraId="1B727A0B" w14:textId="74001232" w:rsidR="00253B21" w:rsidRPr="00040CB0"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253B21" w:rsidRPr="00253B21">
              <w:rPr>
                <w:rFonts w:ascii="Aptos" w:hAnsi="Aptos" w:cs="Arial"/>
                <w:b/>
                <w:color w:val="000000" w:themeColor="text1"/>
                <w:sz w:val="20"/>
                <w:szCs w:val="20"/>
              </w:rPr>
              <w:t xml:space="preserve"> viverrini</w:t>
            </w:r>
          </w:p>
        </w:tc>
        <w:tc>
          <w:tcPr>
            <w:tcW w:w="6379" w:type="dxa"/>
            <w:tcBorders>
              <w:top w:val="nil"/>
              <w:left w:val="single" w:sz="4" w:space="0" w:color="auto"/>
              <w:bottom w:val="single" w:sz="4" w:space="0" w:color="auto"/>
              <w:right w:val="single" w:sz="4" w:space="0" w:color="auto"/>
            </w:tcBorders>
            <w:vAlign w:val="bottom"/>
          </w:tcPr>
          <w:p w14:paraId="11C0C3AD" w14:textId="5678C77D"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Named after the hos</w:t>
            </w:r>
            <w:r w:rsidR="00696FA0">
              <w:rPr>
                <w:rFonts w:ascii="Aptos" w:hAnsi="Aptos" w:cs="Calibri"/>
                <w:color w:val="000000"/>
                <w:sz w:val="20"/>
                <w:szCs w:val="20"/>
              </w:rPr>
              <w:t>t</w:t>
            </w:r>
            <w:r w:rsidRPr="00410F16">
              <w:rPr>
                <w:rFonts w:ascii="Aptos" w:hAnsi="Aptos" w:cs="Calibri"/>
                <w:color w:val="000000"/>
                <w:sz w:val="20"/>
                <w:szCs w:val="20"/>
              </w:rPr>
              <w:t xml:space="preserve"> </w:t>
            </w:r>
            <w:r w:rsidRPr="00410F16">
              <w:rPr>
                <w:rFonts w:ascii="Aptos" w:hAnsi="Aptos" w:cs="Calibri"/>
                <w:i/>
                <w:iCs/>
                <w:color w:val="000000"/>
                <w:sz w:val="20"/>
                <w:szCs w:val="20"/>
              </w:rPr>
              <w:t>Opisthorchis viverrini</w:t>
            </w:r>
          </w:p>
        </w:tc>
      </w:tr>
      <w:tr w:rsidR="00253B21" w:rsidRPr="009F7856" w14:paraId="3EF5BA5A" w14:textId="77777777" w:rsidTr="00410F16">
        <w:trPr>
          <w:trHeight w:val="71"/>
        </w:trPr>
        <w:tc>
          <w:tcPr>
            <w:tcW w:w="2547" w:type="dxa"/>
            <w:vAlign w:val="center"/>
          </w:tcPr>
          <w:p w14:paraId="2854707F" w14:textId="41C6F256" w:rsidR="00253B21" w:rsidRPr="00040CB0"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253B21" w:rsidRPr="00253B21">
              <w:rPr>
                <w:rFonts w:ascii="Aptos" w:hAnsi="Aptos" w:cs="Arial"/>
                <w:b/>
                <w:color w:val="000000" w:themeColor="text1"/>
                <w:sz w:val="20"/>
                <w:szCs w:val="20"/>
              </w:rPr>
              <w:t xml:space="preserve"> orientalis</w:t>
            </w:r>
          </w:p>
        </w:tc>
        <w:tc>
          <w:tcPr>
            <w:tcW w:w="6379" w:type="dxa"/>
            <w:tcBorders>
              <w:top w:val="nil"/>
              <w:left w:val="single" w:sz="4" w:space="0" w:color="auto"/>
              <w:bottom w:val="single" w:sz="4" w:space="0" w:color="auto"/>
              <w:right w:val="single" w:sz="4" w:space="0" w:color="auto"/>
            </w:tcBorders>
            <w:vAlign w:val="bottom"/>
          </w:tcPr>
          <w:p w14:paraId="4A6C7C9F" w14:textId="28A978AB"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Metorchis orientalis</w:t>
            </w:r>
          </w:p>
        </w:tc>
      </w:tr>
      <w:tr w:rsidR="00253B21" w:rsidRPr="009F7856" w14:paraId="7433710A" w14:textId="77777777" w:rsidTr="00410F16">
        <w:trPr>
          <w:trHeight w:val="71"/>
        </w:trPr>
        <w:tc>
          <w:tcPr>
            <w:tcW w:w="2547" w:type="dxa"/>
            <w:vAlign w:val="center"/>
          </w:tcPr>
          <w:p w14:paraId="4A8F4594" w14:textId="084BB5EC" w:rsidR="00253B21" w:rsidRPr="00040CB0"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253B21" w:rsidRPr="00253B21">
              <w:rPr>
                <w:rFonts w:ascii="Aptos" w:hAnsi="Aptos" w:cs="Arial"/>
                <w:b/>
                <w:color w:val="000000" w:themeColor="text1"/>
                <w:sz w:val="20"/>
                <w:szCs w:val="20"/>
              </w:rPr>
              <w:t xml:space="preserve"> regenti</w:t>
            </w:r>
          </w:p>
        </w:tc>
        <w:tc>
          <w:tcPr>
            <w:tcW w:w="6379" w:type="dxa"/>
            <w:tcBorders>
              <w:top w:val="nil"/>
              <w:left w:val="single" w:sz="4" w:space="0" w:color="auto"/>
              <w:bottom w:val="single" w:sz="4" w:space="0" w:color="auto"/>
              <w:right w:val="single" w:sz="4" w:space="0" w:color="auto"/>
            </w:tcBorders>
            <w:vAlign w:val="bottom"/>
          </w:tcPr>
          <w:p w14:paraId="756D1109" w14:textId="0886F9FD"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Trichobilharzia regenti</w:t>
            </w:r>
          </w:p>
        </w:tc>
      </w:tr>
      <w:tr w:rsidR="00253B21" w:rsidRPr="009F7856" w14:paraId="20245EE3" w14:textId="77777777" w:rsidTr="00410F16">
        <w:trPr>
          <w:trHeight w:val="71"/>
        </w:trPr>
        <w:tc>
          <w:tcPr>
            <w:tcW w:w="2547" w:type="dxa"/>
            <w:vAlign w:val="center"/>
          </w:tcPr>
          <w:p w14:paraId="6DC0E204" w14:textId="5B8EC8B1" w:rsidR="00253B21" w:rsidRPr="00040CB0" w:rsidRDefault="000E5D9B" w:rsidP="00253B21">
            <w:pPr>
              <w:jc w:val="both"/>
              <w:rPr>
                <w:rFonts w:ascii="Aptos" w:hAnsi="Aptos" w:cs="Arial"/>
                <w:b/>
                <w:color w:val="000000" w:themeColor="text1"/>
                <w:sz w:val="20"/>
                <w:szCs w:val="20"/>
              </w:rPr>
            </w:pPr>
            <w:r>
              <w:rPr>
                <w:rFonts w:ascii="Aptos" w:hAnsi="Aptos" w:cs="Arial"/>
                <w:b/>
                <w:color w:val="000000" w:themeColor="text1"/>
                <w:sz w:val="20"/>
                <w:szCs w:val="20"/>
              </w:rPr>
              <w:t>Cotylvirus</w:t>
            </w:r>
            <w:r w:rsidR="00253B21" w:rsidRPr="00253B21">
              <w:rPr>
                <w:rFonts w:ascii="Aptos" w:hAnsi="Aptos" w:cs="Arial"/>
                <w:b/>
                <w:color w:val="000000" w:themeColor="text1"/>
                <w:sz w:val="20"/>
                <w:szCs w:val="20"/>
              </w:rPr>
              <w:t xml:space="preserve"> pseudoglobulus</w:t>
            </w:r>
          </w:p>
        </w:tc>
        <w:tc>
          <w:tcPr>
            <w:tcW w:w="6379" w:type="dxa"/>
            <w:tcBorders>
              <w:top w:val="nil"/>
              <w:left w:val="single" w:sz="4" w:space="0" w:color="auto"/>
              <w:bottom w:val="single" w:sz="4" w:space="0" w:color="auto"/>
              <w:right w:val="single" w:sz="4" w:space="0" w:color="auto"/>
            </w:tcBorders>
            <w:vAlign w:val="bottom"/>
          </w:tcPr>
          <w:p w14:paraId="1BAB929D" w14:textId="3D31056C" w:rsidR="00253B21" w:rsidRPr="00253B21" w:rsidRDefault="00253B21" w:rsidP="00253B21">
            <w:pPr>
              <w:jc w:val="both"/>
              <w:rPr>
                <w:rFonts w:ascii="Aptos" w:hAnsi="Aptos" w:cs="Arial"/>
                <w:b/>
                <w:color w:val="000000" w:themeColor="text1"/>
                <w:sz w:val="20"/>
                <w:szCs w:val="20"/>
              </w:rPr>
            </w:pPr>
            <w:r w:rsidRPr="00410F16">
              <w:rPr>
                <w:rFonts w:ascii="Aptos" w:hAnsi="Aptos" w:cs="Calibri"/>
                <w:color w:val="000000"/>
                <w:sz w:val="20"/>
                <w:szCs w:val="20"/>
              </w:rPr>
              <w:t xml:space="preserve">Named after the host </w:t>
            </w:r>
            <w:r w:rsidRPr="00410F16">
              <w:rPr>
                <w:rFonts w:ascii="Aptos" w:hAnsi="Aptos" w:cs="Calibri"/>
                <w:i/>
                <w:iCs/>
                <w:color w:val="000000"/>
                <w:sz w:val="20"/>
                <w:szCs w:val="20"/>
              </w:rPr>
              <w:t>Sphaeridiotrema pseudoglobulus</w:t>
            </w:r>
          </w:p>
        </w:tc>
      </w:tr>
    </w:tbl>
    <w:p w14:paraId="664528E2" w14:textId="77777777" w:rsidR="00333392" w:rsidRDefault="00333392"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7BF29393"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Pr>
                <w:rFonts w:ascii="Aptos" w:hAnsi="Aptos" w:cs="Arial"/>
                <w:iCs/>
                <w:color w:val="0070C0"/>
                <w:sz w:val="20"/>
                <w:szCs w:val="20"/>
              </w:rPr>
              <w:t>X</w:t>
            </w:r>
          </w:p>
        </w:tc>
      </w:tr>
      <w:tr w:rsidR="00DD58AA" w14:paraId="640B0925" w14:textId="77777777" w:rsidTr="00040CB0">
        <w:tc>
          <w:tcPr>
            <w:tcW w:w="2547" w:type="dxa"/>
            <w:vAlign w:val="center"/>
          </w:tcPr>
          <w:p w14:paraId="36B8201A" w14:textId="3F1A9FAC" w:rsidR="00DD58AA" w:rsidRPr="00040CB0" w:rsidRDefault="008B7951" w:rsidP="00040CB0">
            <w:pPr>
              <w:jc w:val="both"/>
              <w:rPr>
                <w:rFonts w:ascii="Aptos" w:hAnsi="Aptos" w:cs="Arial"/>
                <w:color w:val="000000" w:themeColor="text1"/>
                <w:sz w:val="20"/>
                <w:szCs w:val="20"/>
              </w:rPr>
            </w:pPr>
            <w:r>
              <w:rPr>
                <w:rFonts w:ascii="Aptos" w:hAnsi="Aptos" w:cs="Arial"/>
                <w:color w:val="000000" w:themeColor="text1"/>
                <w:sz w:val="20"/>
                <w:szCs w:val="20"/>
              </w:rPr>
              <w:t>NA</w:t>
            </w:r>
          </w:p>
        </w:tc>
        <w:tc>
          <w:tcPr>
            <w:tcW w:w="5103" w:type="dxa"/>
            <w:vAlign w:val="center"/>
          </w:tcPr>
          <w:p w14:paraId="50B466DA" w14:textId="09F44444" w:rsidR="00DD58AA" w:rsidRPr="00040CB0" w:rsidRDefault="008B7951" w:rsidP="00040CB0">
            <w:pPr>
              <w:jc w:val="both"/>
              <w:rPr>
                <w:rFonts w:ascii="Aptos" w:hAnsi="Aptos" w:cs="Arial"/>
                <w:color w:val="000000" w:themeColor="text1"/>
                <w:sz w:val="20"/>
                <w:szCs w:val="20"/>
              </w:rPr>
            </w:pPr>
            <w:r>
              <w:rPr>
                <w:rFonts w:ascii="Aptos" w:hAnsi="Aptos" w:cs="Arial"/>
                <w:color w:val="000000" w:themeColor="text1"/>
                <w:sz w:val="20"/>
                <w:szCs w:val="20"/>
              </w:rPr>
              <w:t>NA</w:t>
            </w: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06696706" w14:textId="14A20076" w:rsidR="00DD58AA" w:rsidRDefault="00DD58AA"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23CEE531" w:rsidR="00A77B8E" w:rsidRDefault="00A77B8E" w:rsidP="00DD58AA">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2858EDEF" w14:textId="0FB623B7" w:rsidR="00A77B8E" w:rsidRPr="00BE4F5A" w:rsidRDefault="00A77B8E" w:rsidP="00DD58AA">
            <w:pPr>
              <w:rPr>
                <w:rFonts w:ascii="Aptos" w:hAnsi="Aptos" w:cs="Arial"/>
                <w:sz w:val="20"/>
                <w:szCs w:val="20"/>
              </w:rPr>
            </w:pPr>
            <w:r w:rsidRPr="00BE4F5A">
              <w:rPr>
                <w:rFonts w:ascii="Aptos" w:hAnsi="Aptos" w:cs="Arial"/>
                <w:i/>
                <w:sz w:val="20"/>
                <w:szCs w:val="20"/>
              </w:rPr>
              <w:t xml:space="preserve">Taxonomic </w:t>
            </w:r>
            <w:r w:rsidR="00363A30">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w:t>
            </w:r>
            <w:r w:rsidR="00CC6E1F">
              <w:rPr>
                <w:rFonts w:ascii="Aptos" w:hAnsi="Aptos" w:cs="Arial"/>
                <w:sz w:val="20"/>
                <w:szCs w:val="20"/>
              </w:rPr>
              <w:t xml:space="preserve"> </w:t>
            </w:r>
            <w:r w:rsidR="00253B21">
              <w:rPr>
                <w:rFonts w:ascii="Aptos" w:hAnsi="Aptos" w:cs="Arial"/>
                <w:i/>
                <w:iCs/>
                <w:color w:val="000000" w:themeColor="text1"/>
                <w:sz w:val="20"/>
              </w:rPr>
              <w:t>Orthonavirae; Negarnaviricota; Polyploviridae; Bunyaviricetes; Hareavirales</w:t>
            </w:r>
            <w:r w:rsidR="000E5D9B">
              <w:rPr>
                <w:rFonts w:ascii="Aptos" w:hAnsi="Aptos" w:cs="Arial"/>
                <w:i/>
                <w:iCs/>
                <w:color w:val="000000" w:themeColor="text1"/>
                <w:sz w:val="20"/>
              </w:rPr>
              <w:t>; Phenuiviridae</w:t>
            </w:r>
          </w:p>
          <w:p w14:paraId="36975B16" w14:textId="77777777" w:rsidR="00FC2269" w:rsidRPr="00BE4F5A" w:rsidRDefault="00FC2269" w:rsidP="00DD58AA">
            <w:pPr>
              <w:rPr>
                <w:rFonts w:ascii="Aptos" w:hAnsi="Aptos" w:cs="Arial"/>
                <w:sz w:val="20"/>
                <w:szCs w:val="20"/>
              </w:rPr>
            </w:pPr>
          </w:p>
          <w:p w14:paraId="548AECB0" w14:textId="3E0E1B84" w:rsidR="00FC2269" w:rsidRPr="008B7951" w:rsidRDefault="00A77B8E" w:rsidP="00DD58AA">
            <w:pPr>
              <w:rPr>
                <w:rFonts w:ascii="Aptos" w:hAnsi="Aptos" w:cs="Arial"/>
                <w:i/>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253B21">
              <w:rPr>
                <w:rFonts w:ascii="Aptos" w:hAnsi="Aptos" w:cs="Arial"/>
                <w:iCs/>
                <w:sz w:val="20"/>
                <w:szCs w:val="20"/>
              </w:rPr>
              <w:t xml:space="preserve">There are currently </w:t>
            </w:r>
            <w:r w:rsidR="000E5D9B">
              <w:rPr>
                <w:rFonts w:ascii="Aptos" w:hAnsi="Aptos" w:cs="Arial"/>
                <w:iCs/>
                <w:sz w:val="20"/>
                <w:szCs w:val="20"/>
              </w:rPr>
              <w:t>24 genera</w:t>
            </w:r>
            <w:r w:rsidR="00045168">
              <w:rPr>
                <w:rFonts w:ascii="Aptos" w:hAnsi="Aptos" w:cs="Arial"/>
                <w:iCs/>
                <w:sz w:val="20"/>
                <w:szCs w:val="20"/>
              </w:rPr>
              <w:t xml:space="preserve"> and 223 species</w:t>
            </w:r>
            <w:r w:rsidR="000E5D9B">
              <w:rPr>
                <w:rFonts w:ascii="Aptos" w:hAnsi="Aptos" w:cs="Arial"/>
                <w:iCs/>
                <w:sz w:val="20"/>
                <w:szCs w:val="20"/>
              </w:rPr>
              <w:t xml:space="preserve"> in the family </w:t>
            </w:r>
            <w:r w:rsidR="000E5D9B" w:rsidRPr="007F46B0">
              <w:rPr>
                <w:rFonts w:ascii="Aptos" w:hAnsi="Aptos" w:cs="Arial"/>
                <w:i/>
                <w:sz w:val="20"/>
                <w:szCs w:val="20"/>
              </w:rPr>
              <w:t>Phenuiviridae</w:t>
            </w:r>
            <w:r w:rsidR="003D4282" w:rsidRPr="00BE4F5A">
              <w:rPr>
                <w:rFonts w:ascii="Aptos" w:hAnsi="Aptos" w:cs="Arial"/>
                <w:i/>
                <w:sz w:val="20"/>
                <w:szCs w:val="20"/>
              </w:rPr>
              <w:t xml:space="preserve"> </w:t>
            </w:r>
          </w:p>
          <w:p w14:paraId="1321FC18" w14:textId="77777777" w:rsidR="00A77B8E" w:rsidRPr="00BE4F5A" w:rsidRDefault="00A77B8E" w:rsidP="00DD58AA">
            <w:pPr>
              <w:rPr>
                <w:rFonts w:ascii="Aptos" w:hAnsi="Aptos" w:cs="Arial"/>
                <w:sz w:val="20"/>
                <w:szCs w:val="20"/>
              </w:rPr>
            </w:pPr>
          </w:p>
          <w:p w14:paraId="4EA57B6F" w14:textId="4C0B4CA6" w:rsidR="00253B21" w:rsidRDefault="00A77B8E" w:rsidP="00DD58AA">
            <w:pPr>
              <w:rPr>
                <w:rFonts w:ascii="Aptos" w:hAnsi="Aptos" w:cs="Arial"/>
                <w:iCs/>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sidR="003D4282">
              <w:rPr>
                <w:rFonts w:ascii="Aptos" w:hAnsi="Aptos" w:cs="Arial"/>
                <w:iCs/>
                <w:sz w:val="20"/>
                <w:szCs w:val="20"/>
              </w:rPr>
              <w:t xml:space="preserve">Establishment of </w:t>
            </w:r>
            <w:r w:rsidR="00253B21">
              <w:rPr>
                <w:rFonts w:ascii="Aptos" w:hAnsi="Aptos" w:cs="Arial"/>
                <w:iCs/>
                <w:sz w:val="20"/>
                <w:szCs w:val="20"/>
              </w:rPr>
              <w:t xml:space="preserve">a novel </w:t>
            </w:r>
            <w:r w:rsidR="00045168">
              <w:rPr>
                <w:rFonts w:ascii="Aptos" w:hAnsi="Aptos" w:cs="Arial"/>
                <w:iCs/>
                <w:sz w:val="20"/>
                <w:szCs w:val="20"/>
              </w:rPr>
              <w:t xml:space="preserve">genera </w:t>
            </w:r>
            <w:r w:rsidR="00882F8D">
              <w:rPr>
                <w:rFonts w:ascii="Aptos" w:hAnsi="Aptos" w:cs="Arial"/>
                <w:iCs/>
                <w:sz w:val="20"/>
                <w:szCs w:val="20"/>
              </w:rPr>
              <w:t>“</w:t>
            </w:r>
            <w:r w:rsidR="00045168" w:rsidRPr="00882F8D">
              <w:rPr>
                <w:rFonts w:ascii="Aptos" w:hAnsi="Aptos" w:cs="Arial"/>
                <w:i/>
                <w:sz w:val="20"/>
                <w:szCs w:val="20"/>
              </w:rPr>
              <w:t>Cotylvirus</w:t>
            </w:r>
            <w:r w:rsidR="00882F8D">
              <w:rPr>
                <w:rFonts w:ascii="Aptos" w:hAnsi="Aptos" w:cs="Arial"/>
                <w:iCs/>
                <w:sz w:val="20"/>
                <w:szCs w:val="20"/>
              </w:rPr>
              <w:t>”</w:t>
            </w:r>
            <w:r w:rsidR="00045168">
              <w:rPr>
                <w:rFonts w:ascii="Aptos" w:hAnsi="Aptos" w:cs="Arial"/>
                <w:iCs/>
                <w:sz w:val="20"/>
                <w:szCs w:val="20"/>
              </w:rPr>
              <w:t xml:space="preserve"> </w:t>
            </w:r>
            <w:r w:rsidR="000E5D9B">
              <w:rPr>
                <w:rFonts w:ascii="Aptos" w:hAnsi="Aptos" w:cs="Arial"/>
                <w:iCs/>
                <w:sz w:val="20"/>
                <w:szCs w:val="20"/>
              </w:rPr>
              <w:t xml:space="preserve">in the Family </w:t>
            </w:r>
            <w:r w:rsidR="000E5D9B" w:rsidRPr="007F46B0">
              <w:rPr>
                <w:rFonts w:ascii="Aptos" w:hAnsi="Aptos" w:cs="Arial"/>
                <w:i/>
                <w:sz w:val="20"/>
                <w:szCs w:val="20"/>
              </w:rPr>
              <w:t>Phenuiviridae</w:t>
            </w:r>
            <w:r w:rsidR="00253B21">
              <w:rPr>
                <w:rFonts w:ascii="Aptos" w:hAnsi="Aptos" w:cs="Arial"/>
                <w:iCs/>
                <w:sz w:val="20"/>
                <w:szCs w:val="20"/>
              </w:rPr>
              <w:t>, and</w:t>
            </w:r>
            <w:r w:rsidR="00D56552">
              <w:rPr>
                <w:rFonts w:ascii="Aptos" w:hAnsi="Aptos" w:cs="Arial"/>
                <w:iCs/>
                <w:sz w:val="20"/>
                <w:szCs w:val="20"/>
              </w:rPr>
              <w:t xml:space="preserve"> 7</w:t>
            </w:r>
            <w:r w:rsidR="00253B21">
              <w:rPr>
                <w:rFonts w:ascii="Aptos" w:hAnsi="Aptos" w:cs="Arial"/>
                <w:iCs/>
                <w:sz w:val="20"/>
                <w:szCs w:val="20"/>
              </w:rPr>
              <w:t xml:space="preserve"> novel species. All viruses were discovered in parasitic flatworms</w:t>
            </w:r>
            <w:r w:rsidR="0066271F">
              <w:rPr>
                <w:rFonts w:ascii="Aptos" w:hAnsi="Aptos" w:cs="Arial"/>
                <w:iCs/>
                <w:sz w:val="20"/>
                <w:szCs w:val="20"/>
              </w:rPr>
              <w:t>, all trematodes</w:t>
            </w:r>
            <w:r w:rsidR="00253B21">
              <w:rPr>
                <w:rFonts w:ascii="Aptos" w:hAnsi="Aptos" w:cs="Arial"/>
                <w:iCs/>
                <w:sz w:val="20"/>
                <w:szCs w:val="20"/>
              </w:rPr>
              <w:t xml:space="preserve"> as follow:</w:t>
            </w:r>
          </w:p>
          <w:p w14:paraId="7AA09735" w14:textId="73C22C78" w:rsidR="00253B21" w:rsidRPr="00253B21" w:rsidRDefault="00D56552" w:rsidP="00253B21">
            <w:pPr>
              <w:pStyle w:val="ListParagraph"/>
              <w:numPr>
                <w:ilvl w:val="0"/>
                <w:numId w:val="5"/>
              </w:numPr>
              <w:rPr>
                <w:rFonts w:ascii="Aptos" w:hAnsi="Aptos" w:cs="Arial"/>
                <w:sz w:val="20"/>
                <w:szCs w:val="20"/>
              </w:rPr>
            </w:pPr>
            <w:r>
              <w:rPr>
                <w:rFonts w:ascii="Aptos" w:hAnsi="Aptos" w:cs="Arial"/>
                <w:iCs/>
                <w:sz w:val="20"/>
                <w:szCs w:val="20"/>
              </w:rPr>
              <w:t>two</w:t>
            </w:r>
            <w:r w:rsidR="00253B21">
              <w:rPr>
                <w:rFonts w:ascii="Aptos" w:hAnsi="Aptos" w:cs="Arial"/>
                <w:iCs/>
                <w:sz w:val="20"/>
                <w:szCs w:val="20"/>
              </w:rPr>
              <w:t xml:space="preserve"> novel species identified in </w:t>
            </w:r>
            <w:r w:rsidR="00253B21" w:rsidRPr="009106A4">
              <w:rPr>
                <w:rFonts w:ascii="Aptos" w:hAnsi="Aptos" w:cs="Arial"/>
                <w:i/>
                <w:sz w:val="20"/>
                <w:szCs w:val="20"/>
              </w:rPr>
              <w:t>Schistosoma japonicum</w:t>
            </w:r>
            <w:r w:rsidR="00253B21">
              <w:rPr>
                <w:rFonts w:ascii="Aptos" w:hAnsi="Aptos" w:cs="Arial"/>
                <w:iCs/>
                <w:sz w:val="20"/>
                <w:szCs w:val="20"/>
              </w:rPr>
              <w:t xml:space="preserve"> (Shi et al. 2016)</w:t>
            </w:r>
          </w:p>
          <w:p w14:paraId="75F13EBF" w14:textId="36809A3D" w:rsidR="00253B21" w:rsidRPr="00253B21" w:rsidRDefault="00253B21" w:rsidP="00253B21">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Clonorchis sinensis</w:t>
            </w:r>
            <w:r>
              <w:rPr>
                <w:rFonts w:ascii="Aptos" w:hAnsi="Aptos" w:cs="Arial"/>
                <w:iCs/>
                <w:sz w:val="20"/>
                <w:szCs w:val="20"/>
              </w:rPr>
              <w:t xml:space="preserve"> (Dheilly et al., </w:t>
            </w:r>
            <w:r w:rsidR="000F05A1">
              <w:rPr>
                <w:rFonts w:ascii="Aptos" w:hAnsi="Aptos" w:cs="Arial"/>
                <w:iCs/>
                <w:sz w:val="20"/>
                <w:szCs w:val="20"/>
              </w:rPr>
              <w:t>2022)</w:t>
            </w:r>
          </w:p>
          <w:p w14:paraId="19D0D4AD" w14:textId="7D56BF62" w:rsidR="00A77B8E" w:rsidRDefault="00253B21" w:rsidP="00253B21">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Opisthorchis viverrini</w:t>
            </w:r>
            <w:r>
              <w:rPr>
                <w:rFonts w:ascii="Aptos" w:hAnsi="Aptos" w:cs="Arial"/>
                <w:iCs/>
                <w:sz w:val="20"/>
                <w:szCs w:val="20"/>
              </w:rPr>
              <w:t xml:space="preserve"> (Chaiyadet et al. 2025)</w:t>
            </w:r>
            <w:r w:rsidR="00A77B8E" w:rsidRPr="00410F16">
              <w:rPr>
                <w:rFonts w:ascii="Aptos" w:hAnsi="Aptos" w:cs="Arial"/>
                <w:sz w:val="20"/>
                <w:szCs w:val="20"/>
              </w:rPr>
              <w:t xml:space="preserve"> </w:t>
            </w:r>
          </w:p>
          <w:p w14:paraId="0DBEB110" w14:textId="78A4BA6C" w:rsidR="000F05A1" w:rsidRDefault="000F05A1" w:rsidP="00253B21">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r w:rsidRPr="009106A4">
              <w:rPr>
                <w:rFonts w:ascii="Aptos" w:hAnsi="Aptos" w:cs="Arial"/>
                <w:i/>
                <w:iCs/>
                <w:sz w:val="20"/>
                <w:szCs w:val="20"/>
              </w:rPr>
              <w:t>Metorchis orientalis</w:t>
            </w:r>
            <w:r>
              <w:rPr>
                <w:rFonts w:ascii="Aptos" w:hAnsi="Aptos" w:cs="Arial"/>
                <w:sz w:val="20"/>
                <w:szCs w:val="20"/>
              </w:rPr>
              <w:t xml:space="preserve"> </w:t>
            </w:r>
            <w:r>
              <w:rPr>
                <w:rFonts w:ascii="Aptos" w:hAnsi="Aptos" w:cs="Arial"/>
                <w:iCs/>
                <w:sz w:val="20"/>
                <w:szCs w:val="20"/>
              </w:rPr>
              <w:t>(Dheilly et al., 2022)</w:t>
            </w:r>
          </w:p>
          <w:p w14:paraId="124C6CD3" w14:textId="7CEF290C" w:rsidR="000F05A1" w:rsidRDefault="000F05A1" w:rsidP="00253B21">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r w:rsidRPr="009106A4">
              <w:rPr>
                <w:rFonts w:ascii="Aptos" w:hAnsi="Aptos" w:cs="Arial"/>
                <w:i/>
                <w:iCs/>
                <w:sz w:val="20"/>
                <w:szCs w:val="20"/>
              </w:rPr>
              <w:t>Trichobilharzia regent</w:t>
            </w:r>
            <w:r w:rsidR="009106A4">
              <w:rPr>
                <w:rFonts w:ascii="Aptos" w:hAnsi="Aptos" w:cs="Arial"/>
                <w:iCs/>
                <w:sz w:val="20"/>
                <w:szCs w:val="20"/>
              </w:rPr>
              <w:t>i</w:t>
            </w:r>
            <w:r w:rsidRPr="009106A4">
              <w:rPr>
                <w:rFonts w:ascii="Aptos" w:hAnsi="Aptos" w:cs="Arial"/>
                <w:iCs/>
                <w:sz w:val="20"/>
                <w:szCs w:val="20"/>
              </w:rPr>
              <w:t xml:space="preserve"> </w:t>
            </w:r>
            <w:r>
              <w:rPr>
                <w:rFonts w:ascii="Aptos" w:hAnsi="Aptos" w:cs="Arial"/>
                <w:iCs/>
                <w:sz w:val="20"/>
                <w:szCs w:val="20"/>
              </w:rPr>
              <w:t>(Dheilly et al., 2022)</w:t>
            </w:r>
          </w:p>
          <w:p w14:paraId="2B624651" w14:textId="5FF63697" w:rsidR="000F05A1" w:rsidRPr="00410F16" w:rsidRDefault="000F05A1" w:rsidP="00410F16">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r w:rsidRPr="009106A4">
              <w:rPr>
                <w:rFonts w:ascii="Aptos" w:hAnsi="Aptos" w:cs="Arial"/>
                <w:i/>
                <w:iCs/>
                <w:sz w:val="20"/>
                <w:szCs w:val="20"/>
              </w:rPr>
              <w:t>Sphaeridiotrema pseudoglobulus</w:t>
            </w:r>
            <w:r>
              <w:rPr>
                <w:rFonts w:ascii="Aptos" w:hAnsi="Aptos" w:cs="Arial"/>
                <w:sz w:val="20"/>
                <w:szCs w:val="20"/>
              </w:rPr>
              <w:t xml:space="preserve"> </w:t>
            </w:r>
            <w:r>
              <w:rPr>
                <w:rFonts w:ascii="Aptos" w:hAnsi="Aptos" w:cs="Arial"/>
                <w:iCs/>
                <w:sz w:val="20"/>
                <w:szCs w:val="20"/>
              </w:rPr>
              <w:t>(Dheilly et al., 2022)</w:t>
            </w:r>
          </w:p>
          <w:p w14:paraId="53F57983" w14:textId="77777777" w:rsidR="00FC2269" w:rsidRPr="00BE4F5A" w:rsidRDefault="00FC2269" w:rsidP="00DD58AA">
            <w:pPr>
              <w:rPr>
                <w:rFonts w:ascii="Aptos" w:hAnsi="Aptos" w:cs="Arial"/>
                <w:sz w:val="20"/>
                <w:szCs w:val="20"/>
              </w:rPr>
            </w:pPr>
          </w:p>
          <w:p w14:paraId="3D8B99BE" w14:textId="73E0A64F" w:rsidR="00FC2269" w:rsidRPr="004A5C40" w:rsidRDefault="00A77B8E" w:rsidP="004A5C40">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r w:rsidR="003D4282">
              <w:rPr>
                <w:rFonts w:ascii="Aptos" w:hAnsi="Aptos" w:cs="Arial"/>
                <w:sz w:val="20"/>
              </w:rPr>
              <w:t xml:space="preserve"> </w:t>
            </w:r>
            <w:r w:rsidR="000F05A1">
              <w:rPr>
                <w:rFonts w:ascii="Aptos" w:hAnsi="Aptos" w:cs="Arial"/>
                <w:sz w:val="20"/>
              </w:rPr>
              <w:t xml:space="preserve">All viruses within </w:t>
            </w:r>
            <w:r w:rsidR="000E5D9B">
              <w:rPr>
                <w:rFonts w:ascii="Aptos" w:hAnsi="Aptos" w:cs="Arial"/>
                <w:sz w:val="20"/>
              </w:rPr>
              <w:t xml:space="preserve">proposed </w:t>
            </w:r>
            <w:r w:rsidR="009106A4">
              <w:rPr>
                <w:rFonts w:ascii="Aptos" w:hAnsi="Aptos" w:cs="Arial"/>
                <w:sz w:val="20"/>
              </w:rPr>
              <w:t>genus “</w:t>
            </w:r>
            <w:r w:rsidR="000E5D9B" w:rsidRPr="00882F8D">
              <w:rPr>
                <w:rFonts w:ascii="Aptos" w:hAnsi="Aptos" w:cs="Arial"/>
                <w:i/>
                <w:iCs/>
                <w:sz w:val="20"/>
              </w:rPr>
              <w:t>Cotylvirus</w:t>
            </w:r>
            <w:r w:rsidR="009106A4">
              <w:rPr>
                <w:rFonts w:ascii="Aptos" w:hAnsi="Aptos" w:cs="Arial"/>
                <w:sz w:val="20"/>
              </w:rPr>
              <w:t>”</w:t>
            </w:r>
            <w:r w:rsidR="000F05A1">
              <w:rPr>
                <w:rFonts w:ascii="Aptos" w:hAnsi="Aptos" w:cs="Arial"/>
                <w:sz w:val="20"/>
              </w:rPr>
              <w:t xml:space="preserve"> have been discovered within parasitic flatworms, enclose a bi-segmented genome, and constitute a very distinct phylogenetic clade within the </w:t>
            </w:r>
            <w:r w:rsidR="000E5D9B">
              <w:rPr>
                <w:rFonts w:ascii="Aptos" w:hAnsi="Aptos" w:cs="Arial"/>
                <w:sz w:val="20"/>
              </w:rPr>
              <w:t>family</w:t>
            </w:r>
            <w:r w:rsidR="00DA7590" w:rsidRPr="007F46B0">
              <w:rPr>
                <w:rFonts w:ascii="Aptos" w:hAnsi="Aptos" w:cs="Arial"/>
                <w:i/>
                <w:iCs/>
                <w:sz w:val="20"/>
              </w:rPr>
              <w:t xml:space="preserve"> Phenuiviridae</w:t>
            </w:r>
            <w:r w:rsidR="000F05A1">
              <w:rPr>
                <w:rFonts w:ascii="Aptos" w:hAnsi="Aptos" w:cs="Arial"/>
                <w:sz w:val="20"/>
              </w:rPr>
              <w:t xml:space="preserve">. </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6D8AABD0" w14:textId="65D249C5" w:rsidR="00AA7130" w:rsidRPr="00F110F7" w:rsidRDefault="00A77B8E" w:rsidP="00AA7130">
            <w:pPr>
              <w:pStyle w:val="BodyTextIndent"/>
              <w:ind w:left="0" w:hanging="15"/>
              <w:rPr>
                <w:rFonts w:ascii="Aptos" w:hAnsi="Aptos" w:cs="Arial"/>
                <w:color w:val="0070C0"/>
                <w:sz w:val="20"/>
              </w:rPr>
            </w:pPr>
            <w:r>
              <w:rPr>
                <w:rFonts w:ascii="Aptos" w:hAnsi="Aptos" w:cs="Arial"/>
                <w:b/>
                <w:color w:val="000000"/>
                <w:sz w:val="20"/>
              </w:rPr>
              <w:t>Text of Taxonomy proposal</w:t>
            </w:r>
          </w:p>
          <w:p w14:paraId="4ECF6668" w14:textId="0BA6E3AC" w:rsidR="00A77B8E" w:rsidRDefault="00A77B8E" w:rsidP="00DD58AA">
            <w:pPr>
              <w:pStyle w:val="BodyTextIndent"/>
              <w:numPr>
                <w:ilvl w:val="0"/>
                <w:numId w:val="3"/>
              </w:numPr>
              <w:rPr>
                <w:rFonts w:ascii="Aptos" w:hAnsi="Aptos" w:cs="Arial"/>
                <w:color w:val="0000FF"/>
                <w:sz w:val="20"/>
              </w:rPr>
            </w:pP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9422506" w14:textId="0C59165E" w:rsidR="00A77B8E" w:rsidRPr="00BE4F5A" w:rsidRDefault="00A77B8E" w:rsidP="00DD58AA">
            <w:pPr>
              <w:rPr>
                <w:rFonts w:ascii="Aptos" w:hAnsi="Aptos" w:cs="Arial"/>
                <w:sz w:val="20"/>
                <w:szCs w:val="20"/>
              </w:rPr>
            </w:pPr>
            <w:r w:rsidRPr="00BE4F5A">
              <w:rPr>
                <w:rFonts w:ascii="Aptos" w:hAnsi="Aptos" w:cs="Arial"/>
                <w:i/>
                <w:sz w:val="20"/>
                <w:szCs w:val="20"/>
              </w:rPr>
              <w:t xml:space="preserve">Taxonomic </w:t>
            </w:r>
            <w:r w:rsidR="00363A30">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w:t>
            </w:r>
            <w:r w:rsidR="00AB2EE4">
              <w:rPr>
                <w:rFonts w:ascii="Aptos" w:hAnsi="Aptos" w:cs="Arial"/>
                <w:sz w:val="20"/>
                <w:szCs w:val="20"/>
              </w:rPr>
              <w:t xml:space="preserve"> </w:t>
            </w:r>
            <w:r w:rsidR="000F05A1">
              <w:rPr>
                <w:rFonts w:ascii="Aptos" w:hAnsi="Aptos" w:cs="Arial"/>
                <w:i/>
                <w:iCs/>
                <w:color w:val="000000" w:themeColor="text1"/>
                <w:sz w:val="20"/>
              </w:rPr>
              <w:t>Orthonavirae; Negarnaviricota; Polyploviridae; Bunyaviricetes; Hareavirales</w:t>
            </w:r>
            <w:r w:rsidR="000E5D9B">
              <w:rPr>
                <w:rFonts w:ascii="Aptos" w:hAnsi="Aptos" w:cs="Arial"/>
                <w:sz w:val="20"/>
                <w:szCs w:val="20"/>
              </w:rPr>
              <w:t>;</w:t>
            </w:r>
            <w:r w:rsidR="000E5D9B" w:rsidRPr="007F46B0">
              <w:rPr>
                <w:rFonts w:ascii="Aptos" w:hAnsi="Aptos" w:cs="Arial"/>
                <w:i/>
                <w:iCs/>
                <w:sz w:val="20"/>
                <w:szCs w:val="20"/>
              </w:rPr>
              <w:t xml:space="preserve"> Phenuiviridae</w:t>
            </w:r>
          </w:p>
          <w:p w14:paraId="6993234E" w14:textId="77777777" w:rsidR="00A77B8E" w:rsidRPr="00BE4F5A" w:rsidRDefault="00A77B8E" w:rsidP="00DD58AA">
            <w:pPr>
              <w:rPr>
                <w:rFonts w:ascii="Aptos" w:hAnsi="Aptos" w:cs="Arial"/>
                <w:sz w:val="20"/>
                <w:szCs w:val="20"/>
              </w:rPr>
            </w:pPr>
          </w:p>
          <w:p w14:paraId="4CBE5628" w14:textId="215B1919" w:rsidR="00A77B8E" w:rsidRDefault="00A77B8E" w:rsidP="00DD58AA">
            <w:pPr>
              <w:rPr>
                <w:rFonts w:ascii="Aptos" w:hAnsi="Aptos" w:cs="Arial"/>
                <w:sz w:val="20"/>
                <w:szCs w:val="20"/>
              </w:rPr>
            </w:pPr>
          </w:p>
          <w:p w14:paraId="6664D928" w14:textId="77777777" w:rsidR="00603F3F" w:rsidRPr="00BE4F5A" w:rsidRDefault="00603F3F" w:rsidP="00603F3F">
            <w:pPr>
              <w:rPr>
                <w:rFonts w:ascii="Aptos" w:hAnsi="Aptos" w:cs="Arial"/>
                <w:sz w:val="20"/>
                <w:szCs w:val="20"/>
              </w:rPr>
            </w:pPr>
            <w:r w:rsidRPr="00BE4F5A">
              <w:rPr>
                <w:rFonts w:ascii="Aptos" w:hAnsi="Aptos" w:cs="Arial"/>
                <w:i/>
                <w:sz w:val="20"/>
                <w:szCs w:val="20"/>
              </w:rPr>
              <w:lastRenderedPageBreak/>
              <w:t xml:space="preserve">Taxonomic </w:t>
            </w:r>
            <w:r>
              <w:rPr>
                <w:rFonts w:ascii="Aptos" w:hAnsi="Aptos" w:cs="Arial"/>
                <w:i/>
                <w:sz w:val="20"/>
                <w:szCs w:val="20"/>
              </w:rPr>
              <w:t>rank</w:t>
            </w:r>
            <w:r w:rsidRPr="00BE4F5A">
              <w:rPr>
                <w:rFonts w:ascii="Aptos" w:hAnsi="Aptos" w:cs="Arial"/>
                <w:i/>
                <w:sz w:val="20"/>
                <w:szCs w:val="20"/>
              </w:rPr>
              <w:t>(s) affected</w:t>
            </w:r>
            <w:r w:rsidRPr="00BE4F5A">
              <w:rPr>
                <w:rFonts w:ascii="Aptos" w:hAnsi="Aptos" w:cs="Arial"/>
                <w:sz w:val="20"/>
                <w:szCs w:val="20"/>
              </w:rPr>
              <w:t>:</w:t>
            </w:r>
            <w:r>
              <w:rPr>
                <w:rFonts w:ascii="Aptos" w:hAnsi="Aptos" w:cs="Arial"/>
                <w:sz w:val="20"/>
                <w:szCs w:val="20"/>
              </w:rPr>
              <w:t xml:space="preserve"> </w:t>
            </w:r>
            <w:r>
              <w:rPr>
                <w:rFonts w:ascii="Aptos" w:hAnsi="Aptos" w:cs="Arial"/>
                <w:i/>
                <w:iCs/>
                <w:color w:val="000000" w:themeColor="text1"/>
                <w:sz w:val="20"/>
              </w:rPr>
              <w:t>Orthonavirae; Negarnaviricota; Polyploviridae; Bunyaviricetes; Hareavirales; Phenuiviridae</w:t>
            </w:r>
          </w:p>
          <w:p w14:paraId="45EBC02D" w14:textId="77777777" w:rsidR="00603F3F" w:rsidRDefault="00603F3F" w:rsidP="00603F3F">
            <w:pPr>
              <w:rPr>
                <w:rFonts w:ascii="Aptos" w:hAnsi="Aptos" w:cs="Arial"/>
                <w:sz w:val="20"/>
                <w:szCs w:val="20"/>
              </w:rPr>
            </w:pPr>
          </w:p>
          <w:p w14:paraId="003866BA" w14:textId="77777777" w:rsidR="00603F3F" w:rsidRPr="00BE4F5A" w:rsidRDefault="00603F3F" w:rsidP="00603F3F">
            <w:pPr>
              <w:rPr>
                <w:rFonts w:ascii="Aptos" w:hAnsi="Aptos" w:cs="Arial"/>
                <w:sz w:val="20"/>
                <w:szCs w:val="20"/>
              </w:rPr>
            </w:pPr>
          </w:p>
          <w:p w14:paraId="0EC9A206" w14:textId="77777777" w:rsidR="00603F3F" w:rsidRPr="008B7951" w:rsidRDefault="00603F3F" w:rsidP="00603F3F">
            <w:pPr>
              <w:rPr>
                <w:rFonts w:ascii="Aptos" w:hAnsi="Aptos" w:cs="Arial"/>
                <w:i/>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Pr>
                <w:rFonts w:ascii="Aptos" w:hAnsi="Aptos" w:cs="Arial"/>
                <w:iCs/>
                <w:sz w:val="20"/>
                <w:szCs w:val="20"/>
              </w:rPr>
              <w:t xml:space="preserve">There are currently 24 genera in the family </w:t>
            </w:r>
            <w:r w:rsidRPr="00651389">
              <w:rPr>
                <w:rFonts w:ascii="Aptos" w:hAnsi="Aptos" w:cs="Arial"/>
                <w:i/>
                <w:sz w:val="20"/>
                <w:szCs w:val="20"/>
              </w:rPr>
              <w:t>Phenuiviridae</w:t>
            </w:r>
            <w:r w:rsidRPr="00BE4F5A">
              <w:rPr>
                <w:rFonts w:ascii="Aptos" w:hAnsi="Aptos" w:cs="Arial"/>
                <w:i/>
                <w:sz w:val="20"/>
                <w:szCs w:val="20"/>
              </w:rPr>
              <w:t xml:space="preserve"> </w:t>
            </w:r>
          </w:p>
          <w:p w14:paraId="68597959" w14:textId="77777777" w:rsidR="00603F3F" w:rsidRPr="00BE4F5A" w:rsidRDefault="00603F3F" w:rsidP="00603F3F">
            <w:pPr>
              <w:rPr>
                <w:rFonts w:ascii="Aptos" w:hAnsi="Aptos" w:cs="Arial"/>
                <w:sz w:val="20"/>
                <w:szCs w:val="20"/>
              </w:rPr>
            </w:pPr>
          </w:p>
          <w:p w14:paraId="4B914A3E" w14:textId="77777777" w:rsidR="00603F3F" w:rsidRDefault="00603F3F" w:rsidP="00603F3F">
            <w:pPr>
              <w:rPr>
                <w:rFonts w:ascii="Aptos" w:hAnsi="Aptos" w:cs="Arial"/>
                <w:iCs/>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Pr>
                <w:rFonts w:ascii="Aptos" w:hAnsi="Aptos" w:cs="Arial"/>
                <w:iCs/>
                <w:sz w:val="20"/>
                <w:szCs w:val="20"/>
              </w:rPr>
              <w:t xml:space="preserve">Establishment of a novel genus in the Family </w:t>
            </w:r>
            <w:r w:rsidRPr="00651389">
              <w:rPr>
                <w:rFonts w:ascii="Aptos" w:hAnsi="Aptos" w:cs="Arial"/>
                <w:i/>
                <w:sz w:val="20"/>
                <w:szCs w:val="20"/>
              </w:rPr>
              <w:t>Phenuiviridae</w:t>
            </w:r>
            <w:r>
              <w:rPr>
                <w:rFonts w:ascii="Aptos" w:hAnsi="Aptos" w:cs="Arial"/>
                <w:iCs/>
                <w:sz w:val="20"/>
                <w:szCs w:val="20"/>
              </w:rPr>
              <w:t>, and 7 novel species. All viruses were discovered in parasitic flatworms as follow:</w:t>
            </w:r>
          </w:p>
          <w:p w14:paraId="1FDA02B1" w14:textId="77777777" w:rsidR="00603F3F" w:rsidRPr="00253B21" w:rsidRDefault="00603F3F" w:rsidP="00603F3F">
            <w:pPr>
              <w:pStyle w:val="ListParagraph"/>
              <w:numPr>
                <w:ilvl w:val="0"/>
                <w:numId w:val="5"/>
              </w:numPr>
              <w:rPr>
                <w:rFonts w:ascii="Aptos" w:hAnsi="Aptos" w:cs="Arial"/>
                <w:sz w:val="20"/>
                <w:szCs w:val="20"/>
              </w:rPr>
            </w:pPr>
            <w:r>
              <w:rPr>
                <w:rFonts w:ascii="Aptos" w:hAnsi="Aptos" w:cs="Arial"/>
                <w:iCs/>
                <w:sz w:val="20"/>
                <w:szCs w:val="20"/>
              </w:rPr>
              <w:t xml:space="preserve">two novel species identified in </w:t>
            </w:r>
            <w:r w:rsidRPr="009106A4">
              <w:rPr>
                <w:rFonts w:ascii="Aptos" w:hAnsi="Aptos" w:cs="Arial"/>
                <w:i/>
                <w:sz w:val="20"/>
                <w:szCs w:val="20"/>
              </w:rPr>
              <w:t>Schistosoma japonicum</w:t>
            </w:r>
            <w:r>
              <w:rPr>
                <w:rFonts w:ascii="Aptos" w:hAnsi="Aptos" w:cs="Arial"/>
                <w:iCs/>
                <w:sz w:val="20"/>
                <w:szCs w:val="20"/>
              </w:rPr>
              <w:t xml:space="preserve">  (Shi et al. 2016)</w:t>
            </w:r>
          </w:p>
          <w:p w14:paraId="09A615CC" w14:textId="77777777" w:rsidR="00603F3F" w:rsidRPr="00253B21" w:rsidRDefault="00603F3F" w:rsidP="00603F3F">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Clonorchis sinensis</w:t>
            </w:r>
            <w:r>
              <w:rPr>
                <w:rFonts w:ascii="Aptos" w:hAnsi="Aptos" w:cs="Arial"/>
                <w:iCs/>
                <w:sz w:val="20"/>
                <w:szCs w:val="20"/>
              </w:rPr>
              <w:t xml:space="preserve"> (Dheilly et al., 2022)</w:t>
            </w:r>
          </w:p>
          <w:p w14:paraId="439EF040" w14:textId="77777777" w:rsidR="00603F3F" w:rsidRDefault="00603F3F" w:rsidP="00603F3F">
            <w:pPr>
              <w:pStyle w:val="ListParagraph"/>
              <w:numPr>
                <w:ilvl w:val="0"/>
                <w:numId w:val="5"/>
              </w:numPr>
              <w:rPr>
                <w:rFonts w:ascii="Aptos" w:hAnsi="Aptos" w:cs="Arial"/>
                <w:sz w:val="20"/>
                <w:szCs w:val="20"/>
              </w:rPr>
            </w:pPr>
            <w:r>
              <w:rPr>
                <w:rFonts w:ascii="Aptos" w:hAnsi="Aptos" w:cs="Arial"/>
                <w:iCs/>
                <w:sz w:val="20"/>
                <w:szCs w:val="20"/>
              </w:rPr>
              <w:t xml:space="preserve">A novel species identified in </w:t>
            </w:r>
            <w:r w:rsidRPr="009106A4">
              <w:rPr>
                <w:rFonts w:ascii="Aptos" w:hAnsi="Aptos" w:cs="Arial"/>
                <w:i/>
                <w:sz w:val="20"/>
                <w:szCs w:val="20"/>
              </w:rPr>
              <w:t>Opisthorchis viverrini</w:t>
            </w:r>
            <w:r>
              <w:rPr>
                <w:rFonts w:ascii="Aptos" w:hAnsi="Aptos" w:cs="Arial"/>
                <w:iCs/>
                <w:sz w:val="20"/>
                <w:szCs w:val="20"/>
              </w:rPr>
              <w:t xml:space="preserve"> (Chaiyadet et al. 2025)</w:t>
            </w:r>
            <w:r w:rsidRPr="00410F16">
              <w:rPr>
                <w:rFonts w:ascii="Aptos" w:hAnsi="Aptos" w:cs="Arial"/>
                <w:sz w:val="20"/>
                <w:szCs w:val="20"/>
              </w:rPr>
              <w:t xml:space="preserve"> </w:t>
            </w:r>
          </w:p>
          <w:p w14:paraId="4373A97B" w14:textId="77777777" w:rsidR="00603F3F" w:rsidRDefault="00603F3F" w:rsidP="00603F3F">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r w:rsidRPr="009106A4">
              <w:rPr>
                <w:rFonts w:ascii="Aptos" w:hAnsi="Aptos" w:cs="Arial"/>
                <w:i/>
                <w:iCs/>
                <w:sz w:val="20"/>
                <w:szCs w:val="20"/>
              </w:rPr>
              <w:t>Metorchis orientalis</w:t>
            </w:r>
            <w:r>
              <w:rPr>
                <w:rFonts w:ascii="Aptos" w:hAnsi="Aptos" w:cs="Arial"/>
                <w:sz w:val="20"/>
                <w:szCs w:val="20"/>
              </w:rPr>
              <w:t xml:space="preserve"> </w:t>
            </w:r>
            <w:r>
              <w:rPr>
                <w:rFonts w:ascii="Aptos" w:hAnsi="Aptos" w:cs="Arial"/>
                <w:iCs/>
                <w:sz w:val="20"/>
                <w:szCs w:val="20"/>
              </w:rPr>
              <w:t>(Dheilly et al., 2022)</w:t>
            </w:r>
          </w:p>
          <w:p w14:paraId="4739B28B" w14:textId="77777777" w:rsidR="00603F3F" w:rsidRDefault="00603F3F" w:rsidP="00603F3F">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r w:rsidRPr="009106A4">
              <w:rPr>
                <w:rFonts w:ascii="Aptos" w:hAnsi="Aptos" w:cs="Arial"/>
                <w:i/>
                <w:iCs/>
                <w:sz w:val="20"/>
                <w:szCs w:val="20"/>
              </w:rPr>
              <w:t>Trichobilharzia regent</w:t>
            </w:r>
            <w:r>
              <w:rPr>
                <w:rFonts w:ascii="Aptos" w:hAnsi="Aptos" w:cs="Arial"/>
                <w:iCs/>
                <w:sz w:val="20"/>
                <w:szCs w:val="20"/>
              </w:rPr>
              <w:t>i</w:t>
            </w:r>
            <w:r w:rsidRPr="009106A4">
              <w:rPr>
                <w:rFonts w:ascii="Aptos" w:hAnsi="Aptos" w:cs="Arial"/>
                <w:iCs/>
                <w:sz w:val="20"/>
                <w:szCs w:val="20"/>
              </w:rPr>
              <w:t xml:space="preserve"> </w:t>
            </w:r>
            <w:r>
              <w:rPr>
                <w:rFonts w:ascii="Aptos" w:hAnsi="Aptos" w:cs="Arial"/>
                <w:iCs/>
                <w:sz w:val="20"/>
                <w:szCs w:val="20"/>
              </w:rPr>
              <w:t>(Dheilly et al., 2022)</w:t>
            </w:r>
          </w:p>
          <w:p w14:paraId="0B8356B1" w14:textId="77777777" w:rsidR="00603F3F" w:rsidRPr="00410F16" w:rsidRDefault="00603F3F" w:rsidP="00603F3F">
            <w:pPr>
              <w:pStyle w:val="ListParagraph"/>
              <w:numPr>
                <w:ilvl w:val="0"/>
                <w:numId w:val="5"/>
              </w:numPr>
              <w:rPr>
                <w:rFonts w:ascii="Aptos" w:hAnsi="Aptos" w:cs="Arial"/>
                <w:sz w:val="20"/>
                <w:szCs w:val="20"/>
              </w:rPr>
            </w:pPr>
            <w:r>
              <w:rPr>
                <w:rFonts w:ascii="Aptos" w:hAnsi="Aptos" w:cs="Arial"/>
                <w:sz w:val="20"/>
                <w:szCs w:val="20"/>
              </w:rPr>
              <w:t xml:space="preserve">A novel species identified in </w:t>
            </w:r>
            <w:r w:rsidRPr="009106A4">
              <w:rPr>
                <w:rFonts w:ascii="Aptos" w:hAnsi="Aptos" w:cs="Arial"/>
                <w:i/>
                <w:iCs/>
                <w:sz w:val="20"/>
                <w:szCs w:val="20"/>
              </w:rPr>
              <w:t>Sphaeridiotrema pseudoglobulus</w:t>
            </w:r>
            <w:r>
              <w:rPr>
                <w:rFonts w:ascii="Aptos" w:hAnsi="Aptos" w:cs="Arial"/>
                <w:sz w:val="20"/>
                <w:szCs w:val="20"/>
              </w:rPr>
              <w:t xml:space="preserve"> </w:t>
            </w:r>
            <w:r>
              <w:rPr>
                <w:rFonts w:ascii="Aptos" w:hAnsi="Aptos" w:cs="Arial"/>
                <w:iCs/>
                <w:sz w:val="20"/>
                <w:szCs w:val="20"/>
              </w:rPr>
              <w:t>(Dheilly et al., 2022)</w:t>
            </w:r>
          </w:p>
          <w:p w14:paraId="48A16FC2" w14:textId="77777777" w:rsidR="00603F3F" w:rsidRDefault="00603F3F" w:rsidP="00603F3F">
            <w:pPr>
              <w:rPr>
                <w:rFonts w:ascii="Aptos" w:hAnsi="Aptos" w:cs="Arial"/>
                <w:sz w:val="20"/>
                <w:szCs w:val="20"/>
              </w:rPr>
            </w:pPr>
          </w:p>
          <w:p w14:paraId="4AC2F201" w14:textId="77777777" w:rsidR="005A2C65" w:rsidRPr="007F46B0" w:rsidRDefault="005A2C65" w:rsidP="005A2C65">
            <w:pPr>
              <w:pStyle w:val="BodyTextIndent"/>
              <w:rPr>
                <w:rFonts w:ascii="Aptos" w:hAnsi="Aptos" w:cs="Arial"/>
                <w:b/>
                <w:bCs/>
                <w:iCs/>
                <w:sz w:val="20"/>
                <w:u w:val="single"/>
              </w:rPr>
            </w:pPr>
            <w:r w:rsidRPr="007F46B0">
              <w:rPr>
                <w:rFonts w:ascii="Aptos" w:hAnsi="Aptos" w:cs="Arial"/>
                <w:b/>
                <w:bCs/>
                <w:iCs/>
                <w:sz w:val="20"/>
                <w:u w:val="single"/>
              </w:rPr>
              <w:t>ICTV genus demarcation criteria</w:t>
            </w:r>
          </w:p>
          <w:p w14:paraId="0CFD223E" w14:textId="4B96FEBC" w:rsidR="005A2C65" w:rsidRPr="007F46B0" w:rsidRDefault="005A2C65" w:rsidP="007F46B0">
            <w:pPr>
              <w:pStyle w:val="BodyTextIndent"/>
              <w:ind w:left="0" w:firstLine="0"/>
              <w:jc w:val="both"/>
              <w:rPr>
                <w:rFonts w:ascii="Aptos" w:hAnsi="Aptos" w:cs="Arial"/>
                <w:iCs/>
                <w:sz w:val="20"/>
              </w:rPr>
            </w:pPr>
            <w:r w:rsidRPr="007F46B0">
              <w:rPr>
                <w:rFonts w:ascii="Aptos" w:hAnsi="Aptos" w:cs="Arial"/>
                <w:iCs/>
                <w:sz w:val="20"/>
              </w:rPr>
              <w:t>The coding-complete sequences of all genome segments may be sufficient for phenuivir</w:t>
            </w:r>
            <w:r w:rsidR="000F4202">
              <w:rPr>
                <w:rFonts w:ascii="Aptos" w:hAnsi="Aptos" w:cs="Arial"/>
                <w:iCs/>
                <w:sz w:val="20"/>
              </w:rPr>
              <w:t>ids</w:t>
            </w:r>
            <w:r w:rsidRPr="007F46B0">
              <w:rPr>
                <w:rFonts w:ascii="Aptos" w:hAnsi="Aptos" w:cs="Arial"/>
                <w:iCs/>
                <w:sz w:val="20"/>
              </w:rPr>
              <w:t xml:space="preserve"> classification. Demarcation of genera is based on a comprehensive assessment of virus phylogenetic relationships, genome organization, and ecology, including host range, pathobiology, and transmission patterns.</w:t>
            </w:r>
          </w:p>
          <w:p w14:paraId="661769C1" w14:textId="77777777" w:rsidR="005A2C65" w:rsidRPr="007F46B0" w:rsidRDefault="005A2C65" w:rsidP="005A2C65">
            <w:pPr>
              <w:pStyle w:val="BodyTextIndent"/>
              <w:rPr>
                <w:rFonts w:ascii="Aptos" w:hAnsi="Aptos" w:cs="Arial"/>
                <w:iCs/>
                <w:sz w:val="20"/>
              </w:rPr>
            </w:pPr>
          </w:p>
          <w:p w14:paraId="2B410B06" w14:textId="77777777" w:rsidR="005A2C65" w:rsidRPr="007F46B0" w:rsidRDefault="005A2C65" w:rsidP="005A2C65">
            <w:pPr>
              <w:pStyle w:val="BodyTextIndent"/>
              <w:rPr>
                <w:rFonts w:ascii="Aptos" w:hAnsi="Aptos" w:cs="Arial"/>
                <w:iCs/>
                <w:sz w:val="20"/>
                <w:u w:val="single"/>
              </w:rPr>
            </w:pPr>
            <w:r w:rsidRPr="007F46B0">
              <w:rPr>
                <w:rFonts w:ascii="Aptos" w:hAnsi="Aptos" w:cs="Arial"/>
                <w:iCs/>
                <w:sz w:val="20"/>
                <w:u w:val="single"/>
              </w:rPr>
              <w:t>Justification:</w:t>
            </w:r>
          </w:p>
          <w:p w14:paraId="7950ACF5" w14:textId="677664E6" w:rsidR="005A2C65" w:rsidRDefault="005A2C65">
            <w:pPr>
              <w:pStyle w:val="BodyTextIndent"/>
              <w:ind w:left="0" w:firstLine="0"/>
              <w:jc w:val="both"/>
              <w:rPr>
                <w:rFonts w:ascii="Aptos" w:hAnsi="Aptos" w:cs="Arial"/>
                <w:iCs/>
                <w:sz w:val="20"/>
              </w:rPr>
            </w:pPr>
            <w:r w:rsidRPr="007F46B0">
              <w:rPr>
                <w:rFonts w:ascii="Aptos" w:hAnsi="Aptos" w:cs="Arial"/>
                <w:iCs/>
                <w:sz w:val="20"/>
              </w:rPr>
              <w:t xml:space="preserve">All viruses assigned to the proposed genus </w:t>
            </w:r>
            <w:r w:rsidR="000F4202">
              <w:rPr>
                <w:rFonts w:ascii="Aptos" w:hAnsi="Aptos" w:cs="Arial"/>
                <w:iCs/>
                <w:sz w:val="20"/>
              </w:rPr>
              <w:t>“</w:t>
            </w:r>
            <w:r w:rsidRPr="000F4202">
              <w:rPr>
                <w:rFonts w:ascii="Aptos" w:hAnsi="Aptos" w:cs="Arial"/>
                <w:i/>
                <w:sz w:val="20"/>
              </w:rPr>
              <w:t>Cotylvirus</w:t>
            </w:r>
            <w:r w:rsidR="000F4202">
              <w:rPr>
                <w:rFonts w:ascii="Aptos" w:hAnsi="Aptos" w:cs="Arial"/>
                <w:iCs/>
                <w:sz w:val="20"/>
              </w:rPr>
              <w:t>”</w:t>
            </w:r>
            <w:r w:rsidRPr="007F46B0">
              <w:rPr>
                <w:rFonts w:ascii="Aptos" w:hAnsi="Aptos" w:cs="Arial"/>
                <w:iCs/>
                <w:sz w:val="20"/>
              </w:rPr>
              <w:t xml:space="preserve"> were identified in </w:t>
            </w:r>
            <w:r w:rsidR="0066271F">
              <w:rPr>
                <w:rFonts w:ascii="Aptos" w:hAnsi="Aptos" w:cs="Arial"/>
                <w:iCs/>
                <w:sz w:val="20"/>
              </w:rPr>
              <w:t>trematodes</w:t>
            </w:r>
            <w:r w:rsidRPr="007F46B0">
              <w:rPr>
                <w:rFonts w:ascii="Aptos" w:hAnsi="Aptos" w:cs="Arial"/>
                <w:iCs/>
                <w:sz w:val="20"/>
              </w:rPr>
              <w:t xml:space="preserve"> and possess a bi-segmented genome organization. Phylogenetic analyses based on the amino acid sequences of the RNA-dependent RNA polymerase (RdRp) place all proposed </w:t>
            </w:r>
            <w:r w:rsidR="000F4202">
              <w:rPr>
                <w:rFonts w:ascii="Aptos" w:hAnsi="Aptos" w:cs="Arial"/>
                <w:iCs/>
                <w:sz w:val="20"/>
              </w:rPr>
              <w:t>“</w:t>
            </w:r>
            <w:r w:rsidRPr="000F4202">
              <w:rPr>
                <w:rFonts w:ascii="Aptos" w:hAnsi="Aptos" w:cs="Arial"/>
                <w:i/>
                <w:sz w:val="20"/>
              </w:rPr>
              <w:t>Cotylvirus</w:t>
            </w:r>
            <w:r w:rsidR="000F4202">
              <w:rPr>
                <w:rFonts w:ascii="Aptos" w:hAnsi="Aptos" w:cs="Arial"/>
                <w:iCs/>
                <w:sz w:val="20"/>
              </w:rPr>
              <w:t>”</w:t>
            </w:r>
            <w:r w:rsidRPr="007F46B0">
              <w:rPr>
                <w:rFonts w:ascii="Aptos" w:hAnsi="Aptos" w:cs="Arial"/>
                <w:iCs/>
                <w:sz w:val="20"/>
              </w:rPr>
              <w:t xml:space="preserve"> viruses within a well-supported and clearly distinct monophyletic clade within the family </w:t>
            </w:r>
            <w:r w:rsidRPr="0066271F">
              <w:rPr>
                <w:rFonts w:ascii="Aptos" w:hAnsi="Aptos" w:cs="Arial"/>
                <w:i/>
                <w:sz w:val="20"/>
              </w:rPr>
              <w:t>Phenuiviridae</w:t>
            </w:r>
            <w:r w:rsidRPr="007F46B0">
              <w:rPr>
                <w:rFonts w:ascii="Aptos" w:hAnsi="Aptos" w:cs="Arial"/>
                <w:iCs/>
                <w:sz w:val="20"/>
              </w:rPr>
              <w:t xml:space="preserve">, separate from all currently recognized genera. </w:t>
            </w:r>
            <w:r w:rsidR="00696FA0" w:rsidRPr="007F46B0">
              <w:rPr>
                <w:rFonts w:ascii="Aptos" w:hAnsi="Aptos"/>
                <w:sz w:val="20"/>
              </w:rPr>
              <w:t xml:space="preserve">RdRp protein sequences of the genus “Cotylvirus” present less than 30% identity to the RdRp of all other genera within the </w:t>
            </w:r>
            <w:r w:rsidR="00696FA0" w:rsidRPr="007F46B0">
              <w:rPr>
                <w:rFonts w:ascii="Aptos" w:hAnsi="Aptos"/>
                <w:i/>
                <w:iCs/>
                <w:sz w:val="20"/>
              </w:rPr>
              <w:t>Phenuiviridae</w:t>
            </w:r>
            <w:r w:rsidR="00696FA0" w:rsidRPr="007F46B0">
              <w:rPr>
                <w:rFonts w:ascii="Aptos" w:hAnsi="Aptos"/>
                <w:sz w:val="20"/>
              </w:rPr>
              <w:t xml:space="preserve">. </w:t>
            </w:r>
            <w:r w:rsidR="00696FA0" w:rsidRPr="007F46B0">
              <w:rPr>
                <w:rFonts w:ascii="Aptos" w:hAnsi="Aptos"/>
                <w:sz w:val="20"/>
                <w:shd w:val="clear" w:color="auto" w:fill="FFFFFF"/>
              </w:rPr>
              <w:t>The overall topology of RdRp and nucleoproteins viral phylogenies are highly consistent with each other and with flatworms’ evolution confirming virus-parasite co-diversification and strong host specificity with no evidence of host switching (Figure 1).</w:t>
            </w:r>
            <w:r w:rsidR="00245C29">
              <w:rPr>
                <w:rFonts w:ascii="Aptos" w:hAnsi="Aptos"/>
                <w:sz w:val="20"/>
                <w:shd w:val="clear" w:color="auto" w:fill="FFFFFF"/>
              </w:rPr>
              <w:t xml:space="preserve"> </w:t>
            </w:r>
          </w:p>
          <w:p w14:paraId="270833A8" w14:textId="77777777" w:rsidR="005A2C65" w:rsidRPr="007F46B0" w:rsidRDefault="005A2C65" w:rsidP="007F46B0">
            <w:pPr>
              <w:pStyle w:val="BodyTextIndent"/>
              <w:ind w:left="0" w:firstLine="0"/>
              <w:rPr>
                <w:rFonts w:ascii="Aptos" w:hAnsi="Aptos" w:cs="Arial"/>
                <w:iCs/>
                <w:sz w:val="20"/>
              </w:rPr>
            </w:pPr>
          </w:p>
          <w:p w14:paraId="00B2893B" w14:textId="330D7A3D" w:rsidR="005A2C65" w:rsidRDefault="005A2C65">
            <w:pPr>
              <w:pStyle w:val="BodyTextIndent"/>
              <w:ind w:left="0" w:firstLine="0"/>
              <w:jc w:val="both"/>
              <w:rPr>
                <w:rFonts w:ascii="Aptos" w:hAnsi="Aptos" w:cs="Arial"/>
                <w:iCs/>
                <w:sz w:val="20"/>
              </w:rPr>
            </w:pPr>
            <w:r w:rsidRPr="007F46B0">
              <w:rPr>
                <w:rFonts w:ascii="Aptos" w:hAnsi="Aptos" w:cs="Arial"/>
                <w:iCs/>
                <w:sz w:val="20"/>
              </w:rPr>
              <w:t xml:space="preserve">The genomes of all proposed </w:t>
            </w:r>
            <w:r w:rsidR="00DB5E82">
              <w:rPr>
                <w:rFonts w:ascii="Aptos" w:hAnsi="Aptos" w:cs="Arial"/>
                <w:iCs/>
                <w:sz w:val="20"/>
              </w:rPr>
              <w:t>“</w:t>
            </w:r>
            <w:r w:rsidRPr="00DB5E82">
              <w:rPr>
                <w:rFonts w:ascii="Aptos" w:hAnsi="Aptos" w:cs="Arial"/>
                <w:i/>
                <w:sz w:val="20"/>
              </w:rPr>
              <w:t>Cotylvirus</w:t>
            </w:r>
            <w:r w:rsidR="00DB5E82">
              <w:rPr>
                <w:rFonts w:ascii="Aptos" w:hAnsi="Aptos" w:cs="Arial"/>
                <w:iCs/>
                <w:sz w:val="20"/>
              </w:rPr>
              <w:t>”</w:t>
            </w:r>
            <w:r w:rsidRPr="007F46B0">
              <w:rPr>
                <w:rFonts w:ascii="Aptos" w:hAnsi="Aptos" w:cs="Arial"/>
                <w:iCs/>
                <w:sz w:val="20"/>
              </w:rPr>
              <w:t xml:space="preserve"> members encode recognizable viral RNA-dependent RNA</w:t>
            </w:r>
            <w:r>
              <w:rPr>
                <w:rFonts w:ascii="Aptos" w:hAnsi="Aptos" w:cs="Arial"/>
                <w:iCs/>
                <w:sz w:val="20"/>
              </w:rPr>
              <w:t xml:space="preserve"> </w:t>
            </w:r>
            <w:r w:rsidRPr="007F46B0">
              <w:rPr>
                <w:rFonts w:ascii="Aptos" w:hAnsi="Aptos" w:cs="Arial"/>
                <w:iCs/>
                <w:sz w:val="20"/>
              </w:rPr>
              <w:t xml:space="preserve">polymerase (RdRp) and nucleoprotein (N) genes, which show phylogenetic relationships consistent with their assignment to the family </w:t>
            </w:r>
            <w:r w:rsidRPr="0066271F">
              <w:rPr>
                <w:rFonts w:ascii="Aptos" w:hAnsi="Aptos" w:cs="Arial"/>
                <w:i/>
                <w:sz w:val="20"/>
              </w:rPr>
              <w:t>Phenuiviridae</w:t>
            </w:r>
            <w:r w:rsidRPr="007F46B0">
              <w:rPr>
                <w:rFonts w:ascii="Aptos" w:hAnsi="Aptos" w:cs="Arial"/>
                <w:iCs/>
                <w:sz w:val="20"/>
              </w:rPr>
              <w:t xml:space="preserve">. Only viruses for which </w:t>
            </w:r>
            <w:r w:rsidR="0066271F">
              <w:rPr>
                <w:rFonts w:ascii="Aptos" w:hAnsi="Aptos" w:cs="Arial"/>
                <w:iCs/>
                <w:sz w:val="20"/>
              </w:rPr>
              <w:t>both genome segments</w:t>
            </w:r>
            <w:r w:rsidRPr="007F46B0">
              <w:rPr>
                <w:rFonts w:ascii="Aptos" w:hAnsi="Aptos" w:cs="Arial"/>
                <w:iCs/>
                <w:sz w:val="20"/>
              </w:rPr>
              <w:t xml:space="preserve"> were available were considered for the proposed species classification.</w:t>
            </w:r>
          </w:p>
          <w:p w14:paraId="43CCBF1B" w14:textId="69574319" w:rsidR="00696FA0" w:rsidRPr="00696FA0" w:rsidRDefault="00696FA0" w:rsidP="007F46B0">
            <w:pPr>
              <w:rPr>
                <w:rFonts w:ascii="Aptos" w:hAnsi="Aptos"/>
                <w:sz w:val="20"/>
                <w:szCs w:val="20"/>
              </w:rPr>
            </w:pPr>
            <w:r w:rsidRPr="007F46B0">
              <w:rPr>
                <w:rFonts w:ascii="Aptos" w:hAnsi="Aptos"/>
                <w:sz w:val="20"/>
                <w:szCs w:val="20"/>
              </w:rPr>
              <w:t xml:space="preserve">Terminal nucleotide analyses revealed complementary 3’ and 5’ termini conserved among segments of the same virus (Table 2), a hallmark of viruses within the order </w:t>
            </w:r>
            <w:r w:rsidRPr="007F46B0">
              <w:rPr>
                <w:rFonts w:ascii="Aptos" w:hAnsi="Aptos"/>
                <w:i/>
                <w:iCs/>
                <w:sz w:val="20"/>
                <w:szCs w:val="20"/>
              </w:rPr>
              <w:t>Hareavirales</w:t>
            </w:r>
            <w:r w:rsidRPr="007F46B0">
              <w:rPr>
                <w:rFonts w:ascii="Aptos" w:hAnsi="Aptos"/>
                <w:sz w:val="20"/>
                <w:szCs w:val="20"/>
              </w:rPr>
              <w:t xml:space="preserve"> forming non-covalently closed ribonucleoprotein complexes. Combined with Shan et al. demonstration that these RNAs are not encoded within </w:t>
            </w:r>
            <w:r w:rsidRPr="007F46B0">
              <w:rPr>
                <w:rFonts w:ascii="Aptos" w:hAnsi="Aptos"/>
                <w:i/>
                <w:iCs/>
                <w:sz w:val="20"/>
                <w:szCs w:val="20"/>
              </w:rPr>
              <w:t>S. japonicum</w:t>
            </w:r>
            <w:r w:rsidRPr="007F46B0">
              <w:rPr>
                <w:rFonts w:ascii="Aptos" w:hAnsi="Aptos"/>
                <w:sz w:val="20"/>
                <w:szCs w:val="20"/>
              </w:rPr>
              <w:t xml:space="preserve"> genome, that the RdRp catalyzes replication of RNA and can be inhibited by the antiviral treatment Favipiravir, and that dsRNA intermediates are detectable using J2 antibodies, these data unequivocally demonstrate viral replication machinery, viral genomic architecture, and sensitivity to antiviral compounds - definitive evidence that these RNAs represent bona fide viruses. </w:t>
            </w:r>
          </w:p>
          <w:p w14:paraId="59EBE461" w14:textId="77777777" w:rsidR="00696FA0" w:rsidRDefault="00696FA0">
            <w:pPr>
              <w:pStyle w:val="BodyTextIndent"/>
              <w:ind w:left="0" w:firstLine="0"/>
              <w:jc w:val="both"/>
              <w:rPr>
                <w:rFonts w:ascii="Aptos" w:hAnsi="Aptos" w:cs="Arial"/>
                <w:iCs/>
                <w:sz w:val="20"/>
              </w:rPr>
            </w:pPr>
          </w:p>
          <w:p w14:paraId="22F65A4A" w14:textId="1B863378" w:rsidR="00696FA0" w:rsidRDefault="00696FA0" w:rsidP="00696FA0">
            <w:pPr>
              <w:rPr>
                <w:rFonts w:ascii="Aptos" w:hAnsi="Aptos" w:cs="Arial"/>
                <w:sz w:val="20"/>
                <w:szCs w:val="20"/>
              </w:rPr>
            </w:pPr>
            <w:r w:rsidRPr="007F46B0">
              <w:rPr>
                <w:rFonts w:ascii="Aptos" w:hAnsi="Aptos" w:cs="Arial"/>
                <w:sz w:val="20"/>
                <w:szCs w:val="20"/>
              </w:rPr>
              <w:t xml:space="preserve">Notably, none of the viruses within the proposed family encode a glycoprotein (Dheilly et al. 2022). Recently Shan et al. (2025) prepared enriched viral fractions that were further sequenced but the absence of a third segment was confirmed. </w:t>
            </w:r>
            <w:r w:rsidRPr="007F46B0">
              <w:rPr>
                <w:rFonts w:ascii="Aptos" w:hAnsi="Aptos"/>
                <w:sz w:val="20"/>
                <w:szCs w:val="20"/>
                <w:shd w:val="clear" w:color="auto" w:fill="FFFFFF"/>
              </w:rPr>
              <w:t xml:space="preserve">Shan </w:t>
            </w:r>
            <w:r w:rsidR="002839C4" w:rsidRPr="007F46B0">
              <w:rPr>
                <w:rFonts w:ascii="Aptos" w:hAnsi="Aptos"/>
                <w:sz w:val="20"/>
                <w:szCs w:val="20"/>
                <w:shd w:val="clear" w:color="auto" w:fill="FFFFFF"/>
              </w:rPr>
              <w:t>et al. (</w:t>
            </w:r>
            <w:r w:rsidRPr="007F46B0">
              <w:rPr>
                <w:rFonts w:ascii="Aptos" w:hAnsi="Aptos"/>
                <w:sz w:val="20"/>
                <w:szCs w:val="20"/>
                <w:shd w:val="clear" w:color="auto" w:fill="FFFFFF"/>
              </w:rPr>
              <w:t xml:space="preserve">2025) also showed HBFV1/2 persistence across eggs, schistosomula and adult worms, and provide </w:t>
            </w:r>
            <w:r w:rsidRPr="007F46B0">
              <w:rPr>
                <w:rFonts w:ascii="Aptos" w:hAnsi="Aptos"/>
                <w:i/>
                <w:iCs/>
                <w:sz w:val="20"/>
                <w:szCs w:val="20"/>
                <w:shd w:val="clear" w:color="auto" w:fill="FFFFFF"/>
              </w:rPr>
              <w:t>in situ</w:t>
            </w:r>
            <w:r w:rsidRPr="007F46B0">
              <w:rPr>
                <w:rFonts w:ascii="Aptos" w:hAnsi="Aptos"/>
                <w:sz w:val="20"/>
                <w:szCs w:val="20"/>
                <w:shd w:val="clear" w:color="auto" w:fill="FFFFFF"/>
              </w:rPr>
              <w:t xml:space="preserve"> hybridization and single cell sequencing data demonstrating the tropism of HBFV1/2 for ovaries, testes and eggs which further suggest strict vertical transmission of these viruses. Likewise, Chaiyadet et al. (2025) demonstrate OPLV localization within eggs. Together with the previously reported co-diversification of the viruses with their parasitic hosts, these data suggest that the viruses are vertically transmitted, likely as an adaptation to their parasitic host's lifestyle that limits opportunities for horizontal transmission. Vertical transmission could explain the absence of glycoprotein and suggest that the genomes are indeed complete.</w:t>
            </w:r>
            <w:r>
              <w:rPr>
                <w:sz w:val="20"/>
                <w:szCs w:val="20"/>
                <w:shd w:val="clear" w:color="auto" w:fill="FFFFFF"/>
              </w:rPr>
              <w:t xml:space="preserve"> </w:t>
            </w:r>
          </w:p>
          <w:p w14:paraId="585851D8" w14:textId="77777777" w:rsidR="00696FA0" w:rsidRDefault="00696FA0">
            <w:pPr>
              <w:pStyle w:val="BodyTextIndent"/>
              <w:ind w:left="0" w:firstLine="0"/>
              <w:jc w:val="both"/>
              <w:rPr>
                <w:rFonts w:ascii="Aptos" w:hAnsi="Aptos" w:cs="Arial"/>
                <w:iCs/>
                <w:sz w:val="20"/>
              </w:rPr>
            </w:pPr>
          </w:p>
          <w:p w14:paraId="0D5D4BB5" w14:textId="56E498AC" w:rsidR="00245C29" w:rsidRPr="007F46B0" w:rsidRDefault="00245C29" w:rsidP="007F46B0">
            <w:pPr>
              <w:pStyle w:val="BodyTextIndent"/>
              <w:ind w:left="0" w:firstLine="0"/>
              <w:jc w:val="both"/>
              <w:rPr>
                <w:rFonts w:ascii="Aptos" w:hAnsi="Aptos" w:cs="Arial"/>
                <w:iCs/>
                <w:sz w:val="20"/>
              </w:rPr>
            </w:pPr>
            <w:r>
              <w:rPr>
                <w:rFonts w:ascii="Aptos" w:hAnsi="Aptos" w:cs="Arial"/>
                <w:iCs/>
                <w:sz w:val="20"/>
              </w:rPr>
              <w:lastRenderedPageBreak/>
              <w:t>Thus,</w:t>
            </w:r>
            <w:r w:rsidRPr="00C31D8F">
              <w:rPr>
                <w:rFonts w:ascii="Aptos" w:hAnsi="Aptos" w:cs="Arial"/>
                <w:iCs/>
                <w:sz w:val="20"/>
              </w:rPr>
              <w:t xml:space="preserve"> the proposed viruses share a common ecological association with </w:t>
            </w:r>
            <w:r>
              <w:rPr>
                <w:rFonts w:ascii="Aptos" w:hAnsi="Aptos" w:cs="Arial"/>
                <w:iCs/>
                <w:sz w:val="20"/>
              </w:rPr>
              <w:t>trematodes</w:t>
            </w:r>
            <w:r w:rsidRPr="00C31D8F">
              <w:rPr>
                <w:rFonts w:ascii="Aptos" w:hAnsi="Aptos" w:cs="Arial"/>
                <w:iCs/>
                <w:sz w:val="20"/>
              </w:rPr>
              <w:t xml:space="preserve"> and exhibit a conserved genome organization consistent with their placement within the family. Collectively, these phylogenetic, genomic, and ecological characteristics support the establishment of </w:t>
            </w:r>
            <w:r w:rsidR="002839C4">
              <w:rPr>
                <w:rFonts w:ascii="Aptos" w:hAnsi="Aptos" w:cs="Arial"/>
                <w:iCs/>
                <w:sz w:val="20"/>
              </w:rPr>
              <w:t>“</w:t>
            </w:r>
            <w:r w:rsidRPr="002839C4">
              <w:rPr>
                <w:rFonts w:ascii="Aptos" w:hAnsi="Aptos" w:cs="Arial"/>
                <w:i/>
                <w:sz w:val="20"/>
              </w:rPr>
              <w:t>Cotylvirus</w:t>
            </w:r>
            <w:r w:rsidR="002839C4">
              <w:rPr>
                <w:rFonts w:ascii="Aptos" w:hAnsi="Aptos" w:cs="Arial"/>
                <w:iCs/>
                <w:sz w:val="20"/>
              </w:rPr>
              <w:t>”</w:t>
            </w:r>
            <w:r w:rsidRPr="00C31D8F">
              <w:rPr>
                <w:rFonts w:ascii="Aptos" w:hAnsi="Aptos" w:cs="Arial"/>
                <w:iCs/>
                <w:sz w:val="20"/>
              </w:rPr>
              <w:t xml:space="preserve"> as a distinct genus within the family </w:t>
            </w:r>
            <w:r w:rsidRPr="0066271F">
              <w:rPr>
                <w:rFonts w:ascii="Aptos" w:hAnsi="Aptos" w:cs="Arial"/>
                <w:i/>
                <w:sz w:val="20"/>
              </w:rPr>
              <w:t>Phenuiviridae</w:t>
            </w:r>
            <w:r w:rsidRPr="00C31D8F">
              <w:rPr>
                <w:rFonts w:ascii="Aptos" w:hAnsi="Aptos" w:cs="Arial"/>
                <w:iCs/>
                <w:sz w:val="20"/>
              </w:rPr>
              <w:t>.</w:t>
            </w:r>
          </w:p>
          <w:p w14:paraId="5C473DB3" w14:textId="77777777" w:rsidR="005A2C65" w:rsidRPr="007F46B0" w:rsidRDefault="005A2C65" w:rsidP="007F46B0">
            <w:pPr>
              <w:pStyle w:val="BodyTextIndent"/>
              <w:ind w:left="0" w:firstLine="0"/>
              <w:rPr>
                <w:rFonts w:ascii="Aptos" w:hAnsi="Aptos" w:cs="Arial"/>
                <w:iCs/>
                <w:sz w:val="20"/>
              </w:rPr>
            </w:pPr>
          </w:p>
          <w:p w14:paraId="6ED1D7D8" w14:textId="180FD456" w:rsidR="005A2C65" w:rsidRPr="007F46B0" w:rsidRDefault="005A2C65" w:rsidP="005A2C65">
            <w:pPr>
              <w:pStyle w:val="BodyTextIndent"/>
              <w:rPr>
                <w:rFonts w:ascii="Aptos" w:hAnsi="Aptos" w:cs="Arial"/>
                <w:b/>
                <w:bCs/>
                <w:iCs/>
                <w:sz w:val="20"/>
                <w:u w:val="single"/>
              </w:rPr>
            </w:pPr>
            <w:r w:rsidRPr="007F46B0">
              <w:rPr>
                <w:rFonts w:ascii="Aptos" w:hAnsi="Aptos" w:cs="Arial"/>
                <w:b/>
                <w:bCs/>
                <w:iCs/>
                <w:sz w:val="20"/>
                <w:u w:val="single"/>
              </w:rPr>
              <w:t>ICTV species demarcation criteria</w:t>
            </w:r>
          </w:p>
          <w:p w14:paraId="03527E19" w14:textId="77777777" w:rsidR="005A2C65" w:rsidRPr="007F46B0" w:rsidRDefault="005A2C65" w:rsidP="007F46B0">
            <w:pPr>
              <w:pStyle w:val="BodyTextIndent"/>
              <w:ind w:left="0" w:firstLine="0"/>
              <w:rPr>
                <w:rFonts w:ascii="Aptos" w:hAnsi="Aptos" w:cs="Arial"/>
                <w:iCs/>
                <w:sz w:val="20"/>
              </w:rPr>
            </w:pPr>
            <w:r w:rsidRPr="007F46B0">
              <w:rPr>
                <w:rFonts w:ascii="Aptos" w:hAnsi="Aptos" w:cs="Arial"/>
                <w:iCs/>
                <w:sz w:val="20"/>
              </w:rPr>
              <w:t>The criteria demarcating species within the genus are based on the amino acid sequence identity of the RdRp. Viruses assigned to different species have less than 95% amino acid identity in the RdRp sequence.</w:t>
            </w:r>
          </w:p>
          <w:p w14:paraId="0EBC25AE" w14:textId="77777777" w:rsidR="005A2C65" w:rsidRPr="007F46B0" w:rsidRDefault="005A2C65" w:rsidP="005A2C65">
            <w:pPr>
              <w:pStyle w:val="BodyTextIndent"/>
              <w:rPr>
                <w:rFonts w:ascii="Aptos" w:hAnsi="Aptos" w:cs="Arial"/>
                <w:iCs/>
                <w:sz w:val="20"/>
              </w:rPr>
            </w:pPr>
          </w:p>
          <w:p w14:paraId="62FE3836" w14:textId="77777777" w:rsidR="005A2C65" w:rsidRPr="007F46B0" w:rsidRDefault="005A2C65" w:rsidP="005A2C65">
            <w:pPr>
              <w:pStyle w:val="BodyTextIndent"/>
              <w:rPr>
                <w:rFonts w:ascii="Aptos" w:hAnsi="Aptos" w:cs="Arial"/>
                <w:iCs/>
                <w:sz w:val="20"/>
                <w:u w:val="single"/>
              </w:rPr>
            </w:pPr>
            <w:r w:rsidRPr="007F46B0">
              <w:rPr>
                <w:rFonts w:ascii="Aptos" w:hAnsi="Aptos" w:cs="Arial"/>
                <w:iCs/>
                <w:sz w:val="20"/>
                <w:u w:val="single"/>
              </w:rPr>
              <w:t>Justification:</w:t>
            </w:r>
          </w:p>
          <w:p w14:paraId="50C3F94D" w14:textId="1E9E1A2B" w:rsidR="005A2C65" w:rsidRPr="007F46B0" w:rsidRDefault="005A2C65" w:rsidP="005A2C65">
            <w:pPr>
              <w:rPr>
                <w:rFonts w:ascii="Aptos" w:hAnsi="Aptos" w:cs="Arial"/>
                <w:iCs/>
                <w:sz w:val="20"/>
                <w:szCs w:val="20"/>
              </w:rPr>
            </w:pPr>
            <w:r w:rsidRPr="007F46B0">
              <w:rPr>
                <w:rFonts w:ascii="Aptos" w:hAnsi="Aptos" w:cs="Arial"/>
                <w:iCs/>
                <w:sz w:val="20"/>
              </w:rPr>
              <w:t xml:space="preserve">The proposed </w:t>
            </w:r>
            <w:r w:rsidR="00877B28">
              <w:rPr>
                <w:rFonts w:ascii="Aptos" w:hAnsi="Aptos" w:cs="Arial"/>
                <w:iCs/>
                <w:sz w:val="20"/>
              </w:rPr>
              <w:t>“</w:t>
            </w:r>
            <w:r w:rsidRPr="00877B28">
              <w:rPr>
                <w:rFonts w:ascii="Aptos" w:hAnsi="Aptos" w:cs="Arial"/>
                <w:i/>
                <w:sz w:val="20"/>
              </w:rPr>
              <w:t>Cotylvirus</w:t>
            </w:r>
            <w:r w:rsidR="00877B28">
              <w:rPr>
                <w:rFonts w:ascii="Aptos" w:hAnsi="Aptos" w:cs="Arial"/>
                <w:iCs/>
                <w:sz w:val="20"/>
              </w:rPr>
              <w:t>”</w:t>
            </w:r>
            <w:r w:rsidRPr="007F46B0">
              <w:rPr>
                <w:rFonts w:ascii="Aptos" w:hAnsi="Aptos" w:cs="Arial"/>
                <w:iCs/>
                <w:sz w:val="20"/>
              </w:rPr>
              <w:t xml:space="preserve"> species are genetically distinct from one another</w:t>
            </w:r>
            <w:r w:rsidR="00245C29">
              <w:rPr>
                <w:rFonts w:ascii="Aptos" w:hAnsi="Aptos" w:cs="Arial"/>
                <w:iCs/>
                <w:sz w:val="20"/>
              </w:rPr>
              <w:t xml:space="preserve"> (Table 1)</w:t>
            </w:r>
            <w:r w:rsidRPr="007F46B0">
              <w:rPr>
                <w:rFonts w:ascii="Aptos" w:hAnsi="Aptos" w:cs="Arial"/>
                <w:iCs/>
                <w:sz w:val="20"/>
              </w:rPr>
              <w:t xml:space="preserve">, with pairwise amino acid identities of the RdRp below the 95% species demarcation threshold. In addition to this sequence divergence, the proposed species form distinct phylogenetic lineages within the </w:t>
            </w:r>
            <w:r w:rsidR="00877B28">
              <w:rPr>
                <w:rFonts w:ascii="Aptos" w:hAnsi="Aptos" w:cs="Arial"/>
                <w:iCs/>
                <w:sz w:val="20"/>
              </w:rPr>
              <w:t>“</w:t>
            </w:r>
            <w:r w:rsidR="00877B28" w:rsidRPr="00877B28">
              <w:rPr>
                <w:rFonts w:ascii="Aptos" w:hAnsi="Aptos" w:cs="Arial"/>
                <w:i/>
                <w:sz w:val="20"/>
              </w:rPr>
              <w:t>Cotylvirus</w:t>
            </w:r>
            <w:r w:rsidR="00877B28">
              <w:rPr>
                <w:rFonts w:ascii="Aptos" w:hAnsi="Aptos" w:cs="Arial"/>
                <w:iCs/>
                <w:sz w:val="20"/>
              </w:rPr>
              <w:t>”</w:t>
            </w:r>
            <w:r w:rsidRPr="007F46B0">
              <w:rPr>
                <w:rFonts w:ascii="Aptos" w:hAnsi="Aptos" w:cs="Arial"/>
                <w:iCs/>
                <w:sz w:val="20"/>
              </w:rPr>
              <w:t xml:space="preserve"> clade. The combination of RdRp sequence divergence and consistent phylogenetic separation supports their classification as distinct species within the proposed genus </w:t>
            </w:r>
            <w:r w:rsidR="00877B28">
              <w:rPr>
                <w:rFonts w:ascii="Aptos" w:hAnsi="Aptos" w:cs="Arial"/>
                <w:iCs/>
                <w:sz w:val="20"/>
              </w:rPr>
              <w:t>“</w:t>
            </w:r>
            <w:r w:rsidR="00877B28" w:rsidRPr="00877B28">
              <w:rPr>
                <w:rFonts w:ascii="Aptos" w:hAnsi="Aptos" w:cs="Arial"/>
                <w:i/>
                <w:sz w:val="20"/>
              </w:rPr>
              <w:t>Cotylvirus</w:t>
            </w:r>
            <w:r w:rsidR="00877B28">
              <w:rPr>
                <w:rFonts w:ascii="Aptos" w:hAnsi="Aptos" w:cs="Arial"/>
                <w:iCs/>
                <w:sz w:val="20"/>
              </w:rPr>
              <w:t>”</w:t>
            </w:r>
            <w:r w:rsidRPr="007F46B0">
              <w:rPr>
                <w:rFonts w:ascii="Aptos" w:hAnsi="Aptos" w:cs="Arial"/>
                <w:iCs/>
                <w:sz w:val="20"/>
              </w:rPr>
              <w:t>.</w:t>
            </w:r>
          </w:p>
          <w:p w14:paraId="4C9962EB" w14:textId="528CA062" w:rsidR="00603F3F" w:rsidRPr="005A2C65" w:rsidRDefault="00603F3F" w:rsidP="00DD58AA">
            <w:pPr>
              <w:rPr>
                <w:rFonts w:ascii="Aptos" w:hAnsi="Aptos"/>
                <w:iCs/>
                <w:sz w:val="20"/>
                <w:szCs w:val="20"/>
              </w:rPr>
            </w:pPr>
          </w:p>
          <w:p w14:paraId="6439F55D" w14:textId="164AA339" w:rsidR="00A77B8E" w:rsidRPr="002E3E9C" w:rsidRDefault="00A77B8E" w:rsidP="004361CB">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902777C" w14:textId="3B249DB9" w:rsidR="00953FFE" w:rsidRDefault="00194378" w:rsidP="00410F16">
            <w:pPr>
              <w:pStyle w:val="ListParagraph"/>
              <w:numPr>
                <w:ilvl w:val="0"/>
                <w:numId w:val="5"/>
              </w:numPr>
              <w:rPr>
                <w:rFonts w:ascii="Aptos" w:hAnsi="Aptos"/>
                <w:sz w:val="20"/>
                <w:szCs w:val="20"/>
              </w:rPr>
            </w:pPr>
            <w:r w:rsidRPr="005E0D05">
              <w:t xml:space="preserve">Shi, M. </w:t>
            </w:r>
            <w:r w:rsidRPr="00194378">
              <w:rPr>
                <w:i/>
                <w:iCs/>
              </w:rPr>
              <w:t>et al.</w:t>
            </w:r>
            <w:r w:rsidRPr="005E0D05">
              <w:t xml:space="preserve"> Redefining the invertebrate RNA virosphere. </w:t>
            </w:r>
            <w:r w:rsidRPr="00194378">
              <w:rPr>
                <w:i/>
                <w:iCs/>
              </w:rPr>
              <w:t>Nature</w:t>
            </w:r>
            <w:r w:rsidRPr="005E0D05">
              <w:t xml:space="preserve"> </w:t>
            </w:r>
            <w:r w:rsidRPr="00194378">
              <w:rPr>
                <w:b/>
                <w:bCs/>
              </w:rPr>
              <w:t>540</w:t>
            </w:r>
            <w:r w:rsidRPr="005E0D05">
              <w:t>, 539–543 (2016).</w:t>
            </w:r>
          </w:p>
          <w:p w14:paraId="120E7644" w14:textId="77777777" w:rsidR="00194378" w:rsidRPr="00410F16" w:rsidRDefault="00194378" w:rsidP="00194378">
            <w:pPr>
              <w:pStyle w:val="ListParagraph"/>
              <w:numPr>
                <w:ilvl w:val="0"/>
                <w:numId w:val="5"/>
              </w:numPr>
              <w:rPr>
                <w:rFonts w:ascii="Aptos" w:hAnsi="Aptos"/>
                <w:sz w:val="20"/>
                <w:szCs w:val="20"/>
              </w:rPr>
            </w:pPr>
            <w:r w:rsidRPr="005E0D05">
              <w:t xml:space="preserve">Dheilly, N. M., Lucas, P., Blanchard, Y. &amp; Rosario, K. A World of Viruses Nested within Parasites: Unraveling Viral Diversity within Parasitic Flatworms (Platyhelminthes). </w:t>
            </w:r>
            <w:r w:rsidRPr="00194378">
              <w:rPr>
                <w:i/>
                <w:iCs/>
              </w:rPr>
              <w:t>Microbiol Spectr</w:t>
            </w:r>
            <w:r w:rsidRPr="005E0D05">
              <w:t xml:space="preserve"> </w:t>
            </w:r>
            <w:r w:rsidRPr="00194378">
              <w:rPr>
                <w:b/>
                <w:bCs/>
              </w:rPr>
              <w:t>10</w:t>
            </w:r>
            <w:r w:rsidRPr="005E0D05">
              <w:t>, e0013822 (2022).</w:t>
            </w:r>
          </w:p>
          <w:p w14:paraId="7C7145FA" w14:textId="77777777" w:rsidR="00194378" w:rsidRPr="00410F16" w:rsidRDefault="00194378" w:rsidP="00194378">
            <w:pPr>
              <w:pStyle w:val="ListParagraph"/>
              <w:numPr>
                <w:ilvl w:val="0"/>
                <w:numId w:val="5"/>
              </w:numPr>
              <w:rPr>
                <w:rFonts w:ascii="Aptos" w:hAnsi="Aptos"/>
                <w:sz w:val="20"/>
                <w:szCs w:val="20"/>
              </w:rPr>
            </w:pPr>
            <w:r w:rsidRPr="005E0D05">
              <w:t xml:space="preserve">Chaiyadet, S. </w:t>
            </w:r>
            <w:r w:rsidRPr="005E0D05">
              <w:rPr>
                <w:i/>
                <w:iCs/>
              </w:rPr>
              <w:t>et al.</w:t>
            </w:r>
            <w:r w:rsidRPr="005E0D05">
              <w:t xml:space="preserve"> Fluke-borne viruses are a risk factor for diseases caused by carcinogenic trematodes. Preprint at https://doi.org/10.1101/2025.10.22.683923 (2025).</w:t>
            </w:r>
          </w:p>
          <w:p w14:paraId="7D1B1CCD" w14:textId="7E007780" w:rsidR="00194378" w:rsidRPr="00194378" w:rsidRDefault="00194378" w:rsidP="00410F16">
            <w:pPr>
              <w:pStyle w:val="ListParagraph"/>
              <w:numPr>
                <w:ilvl w:val="0"/>
                <w:numId w:val="5"/>
              </w:numPr>
              <w:rPr>
                <w:rFonts w:ascii="Aptos" w:hAnsi="Aptos"/>
                <w:sz w:val="20"/>
                <w:szCs w:val="20"/>
              </w:rPr>
            </w:pPr>
            <w:r w:rsidRPr="005E0D05">
              <w:t xml:space="preserve">Shan, T. </w:t>
            </w:r>
            <w:r w:rsidRPr="005E0D05">
              <w:rPr>
                <w:i/>
                <w:iCs/>
              </w:rPr>
              <w:t>et al.</w:t>
            </w:r>
            <w:r w:rsidRPr="005E0D05">
              <w:t xml:space="preserve"> Non-parasite genome encoded virus-like RNAs reprogram the pathogenicity of human blood flukes. </w:t>
            </w:r>
            <w:r w:rsidRPr="005E0D05">
              <w:rPr>
                <w:i/>
                <w:iCs/>
              </w:rPr>
              <w:t>Nat Commun</w:t>
            </w:r>
            <w:r w:rsidRPr="005E0D05">
              <w:t xml:space="preserve"> https://doi.org/10.1038/s41467-025-67822-1 (2025) doi:10.1038/s41467-025-67822-1.</w:t>
            </w:r>
          </w:p>
        </w:tc>
      </w:tr>
    </w:tbl>
    <w:p w14:paraId="66E8B2E2" w14:textId="77777777" w:rsidR="00FC2269" w:rsidRDefault="00FC2269"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5495"/>
        <w:gridCol w:w="3431"/>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283A632" w:rsidR="00FC2269" w:rsidRPr="00220A26" w:rsidRDefault="00FC2269" w:rsidP="005F790F">
            <w:pPr>
              <w:rPr>
                <w:rFonts w:ascii="Aptos" w:hAnsi="Aptos" w:cs="Arial"/>
                <w:b/>
                <w:color w:val="0000FF"/>
                <w:sz w:val="20"/>
              </w:rPr>
            </w:pPr>
            <w:r>
              <w:rPr>
                <w:rFonts w:ascii="Aptos" w:hAnsi="Aptos" w:cs="Arial"/>
                <w:b/>
                <w:sz w:val="20"/>
                <w:szCs w:val="20"/>
              </w:rPr>
              <w:t xml:space="preserve">Accompanying files: </w:t>
            </w:r>
          </w:p>
        </w:tc>
      </w:tr>
      <w:tr w:rsidR="00FC2269" w:rsidRPr="009F7856" w14:paraId="1F0BB22C" w14:textId="77777777" w:rsidTr="00325B29">
        <w:trPr>
          <w:trHeight w:val="73"/>
        </w:trPr>
        <w:tc>
          <w:tcPr>
            <w:tcW w:w="4475"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4451"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3D4282" w:rsidRPr="009F7856" w14:paraId="1669401A" w14:textId="77777777" w:rsidTr="00325B29">
        <w:trPr>
          <w:trHeight w:val="71"/>
        </w:trPr>
        <w:tc>
          <w:tcPr>
            <w:tcW w:w="4475" w:type="dxa"/>
          </w:tcPr>
          <w:p w14:paraId="2BBC90EB" w14:textId="2B59456A" w:rsidR="003D4282" w:rsidRPr="00045168" w:rsidRDefault="00325B29" w:rsidP="003D4282">
            <w:pPr>
              <w:rPr>
                <w:rFonts w:ascii="Aptos" w:hAnsi="Aptos" w:cs="Arial"/>
                <w:bCs/>
                <w:sz w:val="20"/>
                <w:szCs w:val="20"/>
              </w:rPr>
            </w:pPr>
            <w:r>
              <w:rPr>
                <w:rFonts w:ascii="Aptos" w:hAnsi="Aptos" w:cs="Arial"/>
                <w:bCs/>
                <w:sz w:val="20"/>
                <w:szCs w:val="20"/>
              </w:rPr>
              <w:t>2026.001M.</w:t>
            </w:r>
            <w:r w:rsidR="00045168" w:rsidRPr="00045168">
              <w:rPr>
                <w:rFonts w:ascii="Aptos" w:hAnsi="Aptos" w:cs="Arial"/>
                <w:bCs/>
                <w:sz w:val="20"/>
                <w:szCs w:val="20"/>
              </w:rPr>
              <w:t>PercentageIdentityMatric_Phenuiviridae_1ng_7ns</w:t>
            </w:r>
          </w:p>
        </w:tc>
        <w:tc>
          <w:tcPr>
            <w:tcW w:w="4451" w:type="dxa"/>
          </w:tcPr>
          <w:p w14:paraId="7C103FB7" w14:textId="289C00C2" w:rsidR="003D4282" w:rsidRPr="00045168" w:rsidRDefault="00045168" w:rsidP="003D4282">
            <w:pPr>
              <w:rPr>
                <w:rFonts w:ascii="Aptos" w:hAnsi="Aptos" w:cs="Arial"/>
                <w:bCs/>
                <w:sz w:val="20"/>
                <w:szCs w:val="20"/>
              </w:rPr>
            </w:pPr>
            <w:r w:rsidRPr="00045168">
              <w:rPr>
                <w:rFonts w:ascii="Aptos" w:hAnsi="Aptos" w:cs="Arial"/>
                <w:bCs/>
                <w:sz w:val="20"/>
                <w:szCs w:val="20"/>
              </w:rPr>
              <w:t>Complete RdR</w:t>
            </w:r>
            <w:r>
              <w:rPr>
                <w:rFonts w:ascii="Aptos" w:hAnsi="Aptos" w:cs="Arial"/>
                <w:bCs/>
                <w:sz w:val="20"/>
                <w:szCs w:val="20"/>
              </w:rPr>
              <w:t>p</w:t>
            </w:r>
            <w:r w:rsidRPr="00045168">
              <w:rPr>
                <w:rFonts w:ascii="Aptos" w:hAnsi="Aptos" w:cs="Arial"/>
                <w:bCs/>
                <w:sz w:val="20"/>
                <w:szCs w:val="20"/>
              </w:rPr>
              <w:t xml:space="preserve"> protein identity matrix of viruses in </w:t>
            </w:r>
            <w:r w:rsidRPr="00045168">
              <w:rPr>
                <w:rFonts w:ascii="Aptos" w:hAnsi="Aptos" w:cs="Arial"/>
                <w:bCs/>
                <w:i/>
                <w:iCs/>
                <w:sz w:val="20"/>
                <w:szCs w:val="20"/>
              </w:rPr>
              <w:t>Phenuiviridae</w:t>
            </w:r>
            <w:r w:rsidRPr="00045168">
              <w:rPr>
                <w:rFonts w:ascii="Aptos" w:hAnsi="Aptos" w:cs="Arial"/>
                <w:bCs/>
                <w:sz w:val="20"/>
                <w:szCs w:val="20"/>
              </w:rPr>
              <w:t xml:space="preserve"> family and Cotylvirus</w:t>
            </w:r>
          </w:p>
        </w:tc>
      </w:tr>
    </w:tbl>
    <w:p w14:paraId="58E1BBA6"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0DC992A" w:rsidR="006C0F51" w:rsidRPr="006C0F51" w:rsidRDefault="006C0F51" w:rsidP="008F7AFB">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4216B64" w14:textId="77777777" w:rsidR="00DA7590" w:rsidRDefault="00DA7590" w:rsidP="00194378">
      <w:pPr>
        <w:spacing w:line="480" w:lineRule="auto"/>
        <w:jc w:val="both"/>
        <w:rPr>
          <w:b/>
          <w:bCs/>
        </w:rPr>
      </w:pPr>
    </w:p>
    <w:p w14:paraId="5BEABF9B" w14:textId="644F2483" w:rsidR="00194378" w:rsidRDefault="00D56552" w:rsidP="00194378">
      <w:pPr>
        <w:spacing w:line="480" w:lineRule="auto"/>
        <w:jc w:val="both"/>
        <w:rPr>
          <w:b/>
          <w:bCs/>
        </w:rPr>
      </w:pPr>
      <w:r>
        <w:rPr>
          <w:b/>
          <w:bCs/>
        </w:rPr>
        <w:t xml:space="preserve">Table 1| Percentage identity matrix of the RdRp of the seven novel species enclosed within the genus </w:t>
      </w:r>
      <w:r w:rsidR="009106A4">
        <w:rPr>
          <w:b/>
          <w:bCs/>
        </w:rPr>
        <w:t>“</w:t>
      </w:r>
      <w:r w:rsidR="000E5D9B">
        <w:rPr>
          <w:b/>
          <w:bCs/>
          <w:i/>
          <w:iCs/>
        </w:rPr>
        <w:t>Cotylvirus</w:t>
      </w:r>
      <w:r w:rsidR="009106A4">
        <w:rPr>
          <w:b/>
          <w:bCs/>
          <w:i/>
          <w:iCs/>
        </w:rPr>
        <w:t>”</w:t>
      </w:r>
      <w:r w:rsidR="000E5D9B">
        <w:rPr>
          <w:b/>
          <w:bCs/>
        </w:rPr>
        <w:t xml:space="preserve"> </w:t>
      </w:r>
      <w:r>
        <w:rPr>
          <w:b/>
          <w:bCs/>
        </w:rPr>
        <w:t xml:space="preserve">compared with representative species of the family </w:t>
      </w:r>
      <w:r w:rsidRPr="00D56552">
        <w:rPr>
          <w:b/>
          <w:bCs/>
          <w:i/>
          <w:iCs/>
        </w:rPr>
        <w:t>Phenuiviridae</w:t>
      </w:r>
      <w:r>
        <w:rPr>
          <w:b/>
          <w:bCs/>
        </w:rPr>
        <w:t xml:space="preserve">. </w:t>
      </w:r>
    </w:p>
    <w:tbl>
      <w:tblPr>
        <w:tblW w:w="11121" w:type="dxa"/>
        <w:tblInd w:w="-1057" w:type="dxa"/>
        <w:tblCellMar>
          <w:left w:w="70" w:type="dxa"/>
          <w:right w:w="70" w:type="dxa"/>
        </w:tblCellMar>
        <w:tblLook w:val="04A0" w:firstRow="1" w:lastRow="0" w:firstColumn="1" w:lastColumn="0" w:noHBand="0" w:noVBand="1"/>
      </w:tblPr>
      <w:tblGrid>
        <w:gridCol w:w="1194"/>
        <w:gridCol w:w="1084"/>
        <w:gridCol w:w="3148"/>
        <w:gridCol w:w="580"/>
        <w:gridCol w:w="580"/>
        <w:gridCol w:w="580"/>
        <w:gridCol w:w="580"/>
        <w:gridCol w:w="580"/>
        <w:gridCol w:w="580"/>
        <w:gridCol w:w="580"/>
        <w:gridCol w:w="580"/>
        <w:gridCol w:w="580"/>
        <w:gridCol w:w="580"/>
      </w:tblGrid>
      <w:tr w:rsidR="00D56552" w:rsidRPr="00D56552" w14:paraId="593C2A45" w14:textId="77777777" w:rsidTr="00D56552">
        <w:trPr>
          <w:trHeight w:val="290"/>
        </w:trPr>
        <w:tc>
          <w:tcPr>
            <w:tcW w:w="1194" w:type="dxa"/>
            <w:vMerge w:val="restart"/>
            <w:tcBorders>
              <w:top w:val="single" w:sz="4" w:space="0" w:color="auto"/>
              <w:left w:val="single" w:sz="4" w:space="0" w:color="auto"/>
              <w:bottom w:val="single" w:sz="4" w:space="0" w:color="auto"/>
              <w:right w:val="single" w:sz="4" w:space="0" w:color="auto"/>
            </w:tcBorders>
            <w:noWrap/>
            <w:vAlign w:val="center"/>
            <w:hideMark/>
          </w:tcPr>
          <w:p w14:paraId="2FA65E41" w14:textId="4B389DF7" w:rsidR="00D56552" w:rsidRPr="00D56552" w:rsidRDefault="00D56552">
            <w:pPr>
              <w:jc w:val="center"/>
              <w:rPr>
                <w:rFonts w:ascii="Aptos Narrow" w:hAnsi="Aptos Narrow"/>
                <w:i/>
                <w:iCs/>
                <w:color w:val="000000"/>
                <w:sz w:val="18"/>
                <w:szCs w:val="18"/>
                <w:lang w:val="fr-FR"/>
              </w:rPr>
            </w:pPr>
            <w:r w:rsidRPr="00D56552">
              <w:rPr>
                <w:rFonts w:ascii="Aptos Narrow" w:hAnsi="Aptos Narrow"/>
                <w:i/>
                <w:iCs/>
                <w:color w:val="000000"/>
                <w:sz w:val="18"/>
                <w:szCs w:val="18"/>
              </w:rPr>
              <w:t>Phenuiviridae</w:t>
            </w:r>
          </w:p>
        </w:tc>
        <w:tc>
          <w:tcPr>
            <w:tcW w:w="1084" w:type="dxa"/>
            <w:vMerge w:val="restart"/>
            <w:tcBorders>
              <w:top w:val="single" w:sz="4" w:space="0" w:color="auto"/>
              <w:left w:val="single" w:sz="4" w:space="0" w:color="auto"/>
              <w:bottom w:val="single" w:sz="4" w:space="0" w:color="auto"/>
              <w:right w:val="single" w:sz="4" w:space="0" w:color="auto"/>
            </w:tcBorders>
            <w:noWrap/>
            <w:vAlign w:val="center"/>
            <w:hideMark/>
          </w:tcPr>
          <w:p w14:paraId="1C7AA9C0" w14:textId="5610E78B" w:rsidR="00D56552" w:rsidRPr="00D56552" w:rsidRDefault="000E5D9B">
            <w:pPr>
              <w:jc w:val="center"/>
              <w:rPr>
                <w:rFonts w:ascii="Aptos Narrow" w:hAnsi="Aptos Narrow"/>
                <w:i/>
                <w:iCs/>
                <w:color w:val="000000"/>
                <w:sz w:val="18"/>
                <w:szCs w:val="18"/>
              </w:rPr>
            </w:pPr>
            <w:r>
              <w:rPr>
                <w:rFonts w:ascii="Aptos Narrow" w:hAnsi="Aptos Narrow"/>
                <w:i/>
                <w:iCs/>
                <w:color w:val="000000"/>
                <w:sz w:val="18"/>
                <w:szCs w:val="18"/>
              </w:rPr>
              <w:t>Cotylvirus</w:t>
            </w:r>
          </w:p>
        </w:tc>
        <w:tc>
          <w:tcPr>
            <w:tcW w:w="3043" w:type="dxa"/>
            <w:tcBorders>
              <w:top w:val="single" w:sz="4" w:space="0" w:color="auto"/>
              <w:left w:val="nil"/>
              <w:bottom w:val="single" w:sz="4" w:space="0" w:color="auto"/>
              <w:right w:val="single" w:sz="4" w:space="0" w:color="auto"/>
            </w:tcBorders>
            <w:noWrap/>
            <w:vAlign w:val="bottom"/>
            <w:hideMark/>
          </w:tcPr>
          <w:p w14:paraId="28CEDED4"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DAZ87746.1_Sphaeridio_phenuili_virus</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234727B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7BCB298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FE784"/>
            <w:noWrap/>
            <w:vAlign w:val="bottom"/>
            <w:hideMark/>
          </w:tcPr>
          <w:p w14:paraId="3C05645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44,4</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35E7CD0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18B05FF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42,7</w:t>
            </w:r>
          </w:p>
        </w:tc>
        <w:tc>
          <w:tcPr>
            <w:tcW w:w="580" w:type="dxa"/>
            <w:tcBorders>
              <w:top w:val="single" w:sz="4" w:space="0" w:color="auto"/>
              <w:left w:val="single" w:sz="4" w:space="0" w:color="auto"/>
              <w:bottom w:val="single" w:sz="4" w:space="0" w:color="auto"/>
              <w:right w:val="single" w:sz="4" w:space="0" w:color="auto"/>
            </w:tcBorders>
            <w:shd w:val="clear" w:color="000000" w:fill="FFDC81"/>
            <w:noWrap/>
            <w:vAlign w:val="bottom"/>
            <w:hideMark/>
          </w:tcPr>
          <w:p w14:paraId="415DDD2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49,5</w:t>
            </w:r>
          </w:p>
        </w:tc>
        <w:tc>
          <w:tcPr>
            <w:tcW w:w="580" w:type="dxa"/>
            <w:tcBorders>
              <w:top w:val="single" w:sz="4" w:space="0" w:color="auto"/>
              <w:left w:val="single" w:sz="4" w:space="0" w:color="auto"/>
              <w:bottom w:val="single" w:sz="4" w:space="0" w:color="auto"/>
              <w:right w:val="single" w:sz="4" w:space="0" w:color="auto"/>
            </w:tcBorders>
            <w:shd w:val="clear" w:color="000000" w:fill="FDEA83"/>
            <w:noWrap/>
            <w:vAlign w:val="bottom"/>
            <w:hideMark/>
          </w:tcPr>
          <w:p w14:paraId="48F9B58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42,3</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2EB6A54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22,1</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2FEFAAC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0C17B"/>
            <w:noWrap/>
            <w:vAlign w:val="bottom"/>
            <w:hideMark/>
          </w:tcPr>
          <w:p w14:paraId="187846A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21,6</w:t>
            </w:r>
          </w:p>
        </w:tc>
      </w:tr>
      <w:tr w:rsidR="00D56552" w:rsidRPr="00D56552" w14:paraId="63403C94"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742E8795"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38145C43"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00243702"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DAZ87768.1_Metorchi_phenuili_virus</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085EF1D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3D707BB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CB37A"/>
            <w:noWrap/>
            <w:vAlign w:val="bottom"/>
            <w:hideMark/>
          </w:tcPr>
          <w:p w14:paraId="1F4786C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67,6</w:t>
            </w:r>
          </w:p>
        </w:tc>
        <w:tc>
          <w:tcPr>
            <w:tcW w:w="580" w:type="dxa"/>
            <w:tcBorders>
              <w:top w:val="single" w:sz="4" w:space="0" w:color="auto"/>
              <w:left w:val="single" w:sz="4" w:space="0" w:color="auto"/>
              <w:bottom w:val="single" w:sz="4" w:space="0" w:color="auto"/>
              <w:right w:val="single" w:sz="4" w:space="0" w:color="auto"/>
            </w:tcBorders>
            <w:shd w:val="clear" w:color="000000" w:fill="FDB57A"/>
            <w:noWrap/>
            <w:vAlign w:val="bottom"/>
            <w:hideMark/>
          </w:tcPr>
          <w:p w14:paraId="1609256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66,8</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77EDB0D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44,1</w:t>
            </w:r>
          </w:p>
        </w:tc>
        <w:tc>
          <w:tcPr>
            <w:tcW w:w="580" w:type="dxa"/>
            <w:tcBorders>
              <w:top w:val="single" w:sz="4" w:space="0" w:color="auto"/>
              <w:left w:val="single" w:sz="4" w:space="0" w:color="auto"/>
              <w:bottom w:val="single" w:sz="4" w:space="0" w:color="auto"/>
              <w:right w:val="single" w:sz="4" w:space="0" w:color="auto"/>
            </w:tcBorders>
            <w:shd w:val="clear" w:color="000000" w:fill="FED580"/>
            <w:noWrap/>
            <w:vAlign w:val="bottom"/>
            <w:hideMark/>
          </w:tcPr>
          <w:p w14:paraId="74A63E0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52,3</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28A6CAF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21C45A2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04C2E1B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68BF7B"/>
            <w:noWrap/>
            <w:vAlign w:val="bottom"/>
            <w:hideMark/>
          </w:tcPr>
          <w:p w14:paraId="4359B34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20,4</w:t>
            </w:r>
          </w:p>
        </w:tc>
      </w:tr>
      <w:tr w:rsidR="00D56552" w:rsidRPr="00D56552" w14:paraId="702A1BF4"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3260EF08"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4BBEC3A6"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7064848E"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DAZ87849.1_Clonorchi_Phenuili_virus</w:t>
            </w:r>
          </w:p>
        </w:tc>
        <w:tc>
          <w:tcPr>
            <w:tcW w:w="580" w:type="dxa"/>
            <w:tcBorders>
              <w:top w:val="single" w:sz="4" w:space="0" w:color="auto"/>
              <w:left w:val="single" w:sz="4" w:space="0" w:color="auto"/>
              <w:bottom w:val="single" w:sz="4" w:space="0" w:color="auto"/>
              <w:right w:val="single" w:sz="4" w:space="0" w:color="auto"/>
            </w:tcBorders>
            <w:shd w:val="clear" w:color="000000" w:fill="FFE784"/>
            <w:noWrap/>
            <w:vAlign w:val="bottom"/>
            <w:hideMark/>
          </w:tcPr>
          <w:p w14:paraId="5B3E1FD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44,4</w:t>
            </w:r>
          </w:p>
        </w:tc>
        <w:tc>
          <w:tcPr>
            <w:tcW w:w="580" w:type="dxa"/>
            <w:tcBorders>
              <w:top w:val="single" w:sz="4" w:space="0" w:color="auto"/>
              <w:left w:val="single" w:sz="4" w:space="0" w:color="auto"/>
              <w:bottom w:val="single" w:sz="4" w:space="0" w:color="auto"/>
              <w:right w:val="single" w:sz="4" w:space="0" w:color="auto"/>
            </w:tcBorders>
            <w:shd w:val="clear" w:color="000000" w:fill="FCB37A"/>
            <w:noWrap/>
            <w:vAlign w:val="bottom"/>
            <w:hideMark/>
          </w:tcPr>
          <w:p w14:paraId="7958567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67,6</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4CF9170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A8270"/>
            <w:noWrap/>
            <w:vAlign w:val="bottom"/>
            <w:hideMark/>
          </w:tcPr>
          <w:p w14:paraId="0AF42ED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89,1</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54B5F81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44,2</w:t>
            </w:r>
          </w:p>
        </w:tc>
        <w:tc>
          <w:tcPr>
            <w:tcW w:w="580"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63FCAD6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51,6</w:t>
            </w:r>
          </w:p>
        </w:tc>
        <w:tc>
          <w:tcPr>
            <w:tcW w:w="580"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6F962B93"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44,8</w:t>
            </w:r>
          </w:p>
        </w:tc>
        <w:tc>
          <w:tcPr>
            <w:tcW w:w="580" w:type="dxa"/>
            <w:tcBorders>
              <w:top w:val="single" w:sz="4" w:space="0" w:color="auto"/>
              <w:left w:val="single" w:sz="4" w:space="0" w:color="auto"/>
              <w:bottom w:val="single" w:sz="4" w:space="0" w:color="auto"/>
              <w:right w:val="single" w:sz="4" w:space="0" w:color="auto"/>
            </w:tcBorders>
            <w:shd w:val="clear" w:color="000000" w:fill="76C37C"/>
            <w:noWrap/>
            <w:vAlign w:val="bottom"/>
            <w:hideMark/>
          </w:tcPr>
          <w:p w14:paraId="6F12A5B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22,5</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396BDB9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79D4B4D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r>
      <w:tr w:rsidR="00D56552" w:rsidRPr="00D56552" w14:paraId="45BADE43"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1A7F520F"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217BCB03"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25280975"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YAW77665.1_Opisthorphenuilivirus</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0BFF9F6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43,3</w:t>
            </w:r>
          </w:p>
        </w:tc>
        <w:tc>
          <w:tcPr>
            <w:tcW w:w="580" w:type="dxa"/>
            <w:tcBorders>
              <w:top w:val="single" w:sz="4" w:space="0" w:color="auto"/>
              <w:left w:val="single" w:sz="4" w:space="0" w:color="auto"/>
              <w:bottom w:val="single" w:sz="4" w:space="0" w:color="auto"/>
              <w:right w:val="single" w:sz="4" w:space="0" w:color="auto"/>
            </w:tcBorders>
            <w:shd w:val="clear" w:color="000000" w:fill="FDB57A"/>
            <w:noWrap/>
            <w:vAlign w:val="bottom"/>
            <w:hideMark/>
          </w:tcPr>
          <w:p w14:paraId="6892FA5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66,8</w:t>
            </w:r>
          </w:p>
        </w:tc>
        <w:tc>
          <w:tcPr>
            <w:tcW w:w="580" w:type="dxa"/>
            <w:tcBorders>
              <w:top w:val="single" w:sz="4" w:space="0" w:color="auto"/>
              <w:left w:val="single" w:sz="4" w:space="0" w:color="auto"/>
              <w:bottom w:val="single" w:sz="4" w:space="0" w:color="auto"/>
              <w:right w:val="single" w:sz="4" w:space="0" w:color="auto"/>
            </w:tcBorders>
            <w:shd w:val="clear" w:color="000000" w:fill="FA8270"/>
            <w:noWrap/>
            <w:vAlign w:val="bottom"/>
            <w:hideMark/>
          </w:tcPr>
          <w:p w14:paraId="699B108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89,1</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7CD70AD2"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60C7286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43,4</w:t>
            </w:r>
          </w:p>
        </w:tc>
        <w:tc>
          <w:tcPr>
            <w:tcW w:w="580"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5366CD7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w:t>
            </w:r>
          </w:p>
        </w:tc>
        <w:tc>
          <w:tcPr>
            <w:tcW w:w="580"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29E52F5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43,8</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5855DFA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71726C6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w:t>
            </w:r>
          </w:p>
        </w:tc>
        <w:tc>
          <w:tcPr>
            <w:tcW w:w="580" w:type="dxa"/>
            <w:tcBorders>
              <w:top w:val="single" w:sz="4" w:space="0" w:color="auto"/>
              <w:left w:val="single" w:sz="4" w:space="0" w:color="auto"/>
              <w:bottom w:val="single" w:sz="4" w:space="0" w:color="auto"/>
              <w:right w:val="single" w:sz="4" w:space="0" w:color="auto"/>
            </w:tcBorders>
            <w:shd w:val="clear" w:color="000000" w:fill="6BC07B"/>
            <w:noWrap/>
            <w:vAlign w:val="bottom"/>
            <w:hideMark/>
          </w:tcPr>
          <w:p w14:paraId="4DB5779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20,9</w:t>
            </w:r>
          </w:p>
        </w:tc>
      </w:tr>
      <w:tr w:rsidR="00D56552" w:rsidRPr="00D56552" w14:paraId="562590DF"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2CED7F77"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2E3FCAE1"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6056DAA0"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DAZ87991.1_Trichobi_phenuili_virus_1</w:t>
            </w:r>
          </w:p>
        </w:tc>
        <w:tc>
          <w:tcPr>
            <w:tcW w:w="580" w:type="dxa"/>
            <w:tcBorders>
              <w:top w:val="single" w:sz="4" w:space="0" w:color="auto"/>
              <w:left w:val="single" w:sz="4" w:space="0" w:color="auto"/>
              <w:bottom w:val="single" w:sz="4" w:space="0" w:color="auto"/>
              <w:right w:val="single" w:sz="4" w:space="0" w:color="auto"/>
            </w:tcBorders>
            <w:shd w:val="clear" w:color="000000" w:fill="FFEB84"/>
            <w:noWrap/>
            <w:vAlign w:val="bottom"/>
            <w:hideMark/>
          </w:tcPr>
          <w:p w14:paraId="7F0E118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42,7</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59C2527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44,1</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0EE349F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44,2</w:t>
            </w:r>
          </w:p>
        </w:tc>
        <w:tc>
          <w:tcPr>
            <w:tcW w:w="580" w:type="dxa"/>
            <w:tcBorders>
              <w:top w:val="single" w:sz="4" w:space="0" w:color="auto"/>
              <w:left w:val="single" w:sz="4" w:space="0" w:color="auto"/>
              <w:bottom w:val="single" w:sz="4" w:space="0" w:color="auto"/>
              <w:right w:val="single" w:sz="4" w:space="0" w:color="auto"/>
            </w:tcBorders>
            <w:shd w:val="clear" w:color="000000" w:fill="FFEA84"/>
            <w:noWrap/>
            <w:vAlign w:val="bottom"/>
            <w:hideMark/>
          </w:tcPr>
          <w:p w14:paraId="409990A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43,4</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5E4F1D2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ED380"/>
            <w:noWrap/>
            <w:vAlign w:val="bottom"/>
            <w:hideMark/>
          </w:tcPr>
          <w:p w14:paraId="1C1F1E4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53,5</w:t>
            </w:r>
          </w:p>
        </w:tc>
        <w:tc>
          <w:tcPr>
            <w:tcW w:w="580"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70D8E52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47,6</w:t>
            </w:r>
          </w:p>
        </w:tc>
        <w:tc>
          <w:tcPr>
            <w:tcW w:w="580" w:type="dxa"/>
            <w:tcBorders>
              <w:top w:val="single" w:sz="4" w:space="0" w:color="auto"/>
              <w:left w:val="single" w:sz="4" w:space="0" w:color="auto"/>
              <w:bottom w:val="single" w:sz="4" w:space="0" w:color="auto"/>
              <w:right w:val="single" w:sz="4" w:space="0" w:color="auto"/>
            </w:tcBorders>
            <w:shd w:val="clear" w:color="000000" w:fill="6AC07B"/>
            <w:noWrap/>
            <w:vAlign w:val="bottom"/>
            <w:hideMark/>
          </w:tcPr>
          <w:p w14:paraId="4BDBE9D3"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20,7</w:t>
            </w:r>
          </w:p>
        </w:tc>
        <w:tc>
          <w:tcPr>
            <w:tcW w:w="580" w:type="dxa"/>
            <w:tcBorders>
              <w:top w:val="single" w:sz="4" w:space="0" w:color="auto"/>
              <w:left w:val="single" w:sz="4" w:space="0" w:color="auto"/>
              <w:bottom w:val="single" w:sz="4" w:space="0" w:color="auto"/>
              <w:right w:val="single" w:sz="4" w:space="0" w:color="auto"/>
            </w:tcBorders>
            <w:shd w:val="clear" w:color="000000" w:fill="6DC17B"/>
            <w:noWrap/>
            <w:vAlign w:val="bottom"/>
            <w:hideMark/>
          </w:tcPr>
          <w:p w14:paraId="4EA629C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21,2</w:t>
            </w:r>
          </w:p>
        </w:tc>
        <w:tc>
          <w:tcPr>
            <w:tcW w:w="580" w:type="dxa"/>
            <w:tcBorders>
              <w:top w:val="single" w:sz="4" w:space="0" w:color="auto"/>
              <w:left w:val="single" w:sz="4" w:space="0" w:color="auto"/>
              <w:bottom w:val="single" w:sz="4" w:space="0" w:color="auto"/>
              <w:right w:val="single" w:sz="4" w:space="0" w:color="auto"/>
            </w:tcBorders>
            <w:shd w:val="clear" w:color="000000" w:fill="64BE7B"/>
            <w:noWrap/>
            <w:vAlign w:val="bottom"/>
            <w:hideMark/>
          </w:tcPr>
          <w:p w14:paraId="579DA73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19,9</w:t>
            </w:r>
          </w:p>
        </w:tc>
      </w:tr>
      <w:tr w:rsidR="00D56552" w:rsidRPr="00D56552" w14:paraId="32A872EC"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7A33A050"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299A0D15"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15F4A763"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APG79250.1_Hubei_blood_fluke_virus_2</w:t>
            </w:r>
          </w:p>
        </w:tc>
        <w:tc>
          <w:tcPr>
            <w:tcW w:w="580" w:type="dxa"/>
            <w:tcBorders>
              <w:top w:val="single" w:sz="4" w:space="0" w:color="auto"/>
              <w:left w:val="single" w:sz="4" w:space="0" w:color="auto"/>
              <w:bottom w:val="single" w:sz="4" w:space="0" w:color="auto"/>
              <w:right w:val="single" w:sz="4" w:space="0" w:color="auto"/>
            </w:tcBorders>
            <w:shd w:val="clear" w:color="000000" w:fill="FFDC81"/>
            <w:noWrap/>
            <w:vAlign w:val="bottom"/>
            <w:hideMark/>
          </w:tcPr>
          <w:p w14:paraId="65C642C0"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49,5</w:t>
            </w:r>
          </w:p>
        </w:tc>
        <w:tc>
          <w:tcPr>
            <w:tcW w:w="580" w:type="dxa"/>
            <w:tcBorders>
              <w:top w:val="single" w:sz="4" w:space="0" w:color="auto"/>
              <w:left w:val="single" w:sz="4" w:space="0" w:color="auto"/>
              <w:bottom w:val="single" w:sz="4" w:space="0" w:color="auto"/>
              <w:right w:val="single" w:sz="4" w:space="0" w:color="auto"/>
            </w:tcBorders>
            <w:shd w:val="clear" w:color="000000" w:fill="FED580"/>
            <w:noWrap/>
            <w:vAlign w:val="bottom"/>
            <w:hideMark/>
          </w:tcPr>
          <w:p w14:paraId="01FBAC0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52,3</w:t>
            </w:r>
          </w:p>
        </w:tc>
        <w:tc>
          <w:tcPr>
            <w:tcW w:w="580" w:type="dxa"/>
            <w:tcBorders>
              <w:top w:val="single" w:sz="4" w:space="0" w:color="auto"/>
              <w:left w:val="single" w:sz="4" w:space="0" w:color="auto"/>
              <w:bottom w:val="single" w:sz="4" w:space="0" w:color="auto"/>
              <w:right w:val="single" w:sz="4" w:space="0" w:color="auto"/>
            </w:tcBorders>
            <w:shd w:val="clear" w:color="000000" w:fill="FED781"/>
            <w:noWrap/>
            <w:vAlign w:val="bottom"/>
            <w:hideMark/>
          </w:tcPr>
          <w:p w14:paraId="2F0327B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51,6</w:t>
            </w:r>
          </w:p>
        </w:tc>
        <w:tc>
          <w:tcPr>
            <w:tcW w:w="580" w:type="dxa"/>
            <w:tcBorders>
              <w:top w:val="single" w:sz="4" w:space="0" w:color="auto"/>
              <w:left w:val="single" w:sz="4" w:space="0" w:color="auto"/>
              <w:bottom w:val="single" w:sz="4" w:space="0" w:color="auto"/>
              <w:right w:val="single" w:sz="4" w:space="0" w:color="auto"/>
            </w:tcBorders>
            <w:shd w:val="clear" w:color="000000" w:fill="FED680"/>
            <w:noWrap/>
            <w:vAlign w:val="bottom"/>
            <w:hideMark/>
          </w:tcPr>
          <w:p w14:paraId="2717608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52</w:t>
            </w:r>
          </w:p>
        </w:tc>
        <w:tc>
          <w:tcPr>
            <w:tcW w:w="580" w:type="dxa"/>
            <w:tcBorders>
              <w:top w:val="single" w:sz="4" w:space="0" w:color="auto"/>
              <w:left w:val="single" w:sz="4" w:space="0" w:color="auto"/>
              <w:bottom w:val="single" w:sz="4" w:space="0" w:color="auto"/>
              <w:right w:val="single" w:sz="4" w:space="0" w:color="auto"/>
            </w:tcBorders>
            <w:shd w:val="clear" w:color="000000" w:fill="FED380"/>
            <w:noWrap/>
            <w:vAlign w:val="bottom"/>
            <w:hideMark/>
          </w:tcPr>
          <w:p w14:paraId="46DF5C6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53,5</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1E9E10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FDBB7B"/>
            <w:noWrap/>
            <w:vAlign w:val="bottom"/>
            <w:hideMark/>
          </w:tcPr>
          <w:p w14:paraId="046B513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63,8</w:t>
            </w:r>
          </w:p>
        </w:tc>
        <w:tc>
          <w:tcPr>
            <w:tcW w:w="58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24178C3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24,8</w:t>
            </w:r>
          </w:p>
        </w:tc>
        <w:tc>
          <w:tcPr>
            <w:tcW w:w="580" w:type="dxa"/>
            <w:tcBorders>
              <w:top w:val="single" w:sz="4" w:space="0" w:color="auto"/>
              <w:left w:val="single" w:sz="4" w:space="0" w:color="auto"/>
              <w:bottom w:val="single" w:sz="4" w:space="0" w:color="auto"/>
              <w:right w:val="single" w:sz="4" w:space="0" w:color="auto"/>
            </w:tcBorders>
            <w:shd w:val="clear" w:color="000000" w:fill="88C87D"/>
            <w:noWrap/>
            <w:vAlign w:val="bottom"/>
            <w:hideMark/>
          </w:tcPr>
          <w:p w14:paraId="366BE82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c>
          <w:tcPr>
            <w:tcW w:w="580" w:type="dxa"/>
            <w:tcBorders>
              <w:top w:val="single" w:sz="4" w:space="0" w:color="auto"/>
              <w:left w:val="single" w:sz="4" w:space="0" w:color="auto"/>
              <w:bottom w:val="single" w:sz="4" w:space="0" w:color="auto"/>
              <w:right w:val="single" w:sz="4" w:space="0" w:color="auto"/>
            </w:tcBorders>
            <w:shd w:val="clear" w:color="000000" w:fill="83C77C"/>
            <w:noWrap/>
            <w:vAlign w:val="bottom"/>
            <w:hideMark/>
          </w:tcPr>
          <w:p w14:paraId="64B5EF4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24,4</w:t>
            </w:r>
          </w:p>
        </w:tc>
      </w:tr>
      <w:tr w:rsidR="00D56552" w:rsidRPr="00D56552" w14:paraId="4348937C" w14:textId="77777777" w:rsidTr="00D56552">
        <w:trPr>
          <w:trHeight w:val="290"/>
        </w:trPr>
        <w:tc>
          <w:tcPr>
            <w:tcW w:w="1194" w:type="dxa"/>
            <w:vMerge/>
            <w:tcBorders>
              <w:top w:val="single" w:sz="4" w:space="0" w:color="auto"/>
              <w:left w:val="single" w:sz="4" w:space="0" w:color="auto"/>
              <w:bottom w:val="single" w:sz="4" w:space="0" w:color="auto"/>
              <w:right w:val="single" w:sz="4" w:space="0" w:color="auto"/>
            </w:tcBorders>
            <w:vAlign w:val="center"/>
            <w:hideMark/>
          </w:tcPr>
          <w:p w14:paraId="034D8734" w14:textId="77777777" w:rsidR="00D56552" w:rsidRPr="00D56552" w:rsidRDefault="00D56552">
            <w:pPr>
              <w:rPr>
                <w:rFonts w:ascii="Aptos Narrow" w:hAnsi="Aptos Narrow"/>
                <w:i/>
                <w:iCs/>
                <w:color w:val="000000"/>
                <w:sz w:val="18"/>
                <w:szCs w:val="18"/>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14:paraId="50488399" w14:textId="77777777" w:rsidR="00D56552" w:rsidRPr="00D56552" w:rsidRDefault="00D56552">
            <w:pPr>
              <w:rPr>
                <w:rFonts w:ascii="Aptos Narrow" w:hAnsi="Aptos Narrow"/>
                <w:i/>
                <w:iCs/>
                <w:color w:val="000000"/>
                <w:sz w:val="18"/>
                <w:szCs w:val="18"/>
              </w:rPr>
            </w:pPr>
          </w:p>
        </w:tc>
        <w:tc>
          <w:tcPr>
            <w:tcW w:w="3043" w:type="dxa"/>
            <w:tcBorders>
              <w:top w:val="nil"/>
              <w:left w:val="nil"/>
              <w:bottom w:val="single" w:sz="4" w:space="0" w:color="auto"/>
              <w:right w:val="single" w:sz="4" w:space="0" w:color="auto"/>
            </w:tcBorders>
            <w:noWrap/>
            <w:vAlign w:val="bottom"/>
            <w:hideMark/>
          </w:tcPr>
          <w:p w14:paraId="08ED56C9"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APG79252.1_Hubei_blood_fluke_virus_1</w:t>
            </w:r>
          </w:p>
        </w:tc>
        <w:tc>
          <w:tcPr>
            <w:tcW w:w="580" w:type="dxa"/>
            <w:tcBorders>
              <w:top w:val="single" w:sz="4" w:space="0" w:color="auto"/>
              <w:left w:val="single" w:sz="4" w:space="0" w:color="auto"/>
              <w:bottom w:val="single" w:sz="4" w:space="0" w:color="auto"/>
              <w:right w:val="single" w:sz="4" w:space="0" w:color="auto"/>
            </w:tcBorders>
            <w:shd w:val="clear" w:color="000000" w:fill="FDEA83"/>
            <w:noWrap/>
            <w:vAlign w:val="bottom"/>
            <w:hideMark/>
          </w:tcPr>
          <w:p w14:paraId="14270B1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42,3</w:t>
            </w:r>
          </w:p>
        </w:tc>
        <w:tc>
          <w:tcPr>
            <w:tcW w:w="580" w:type="dxa"/>
            <w:tcBorders>
              <w:top w:val="single" w:sz="4" w:space="0" w:color="auto"/>
              <w:left w:val="single" w:sz="4" w:space="0" w:color="auto"/>
              <w:bottom w:val="single" w:sz="4" w:space="0" w:color="auto"/>
              <w:right w:val="single" w:sz="4" w:space="0" w:color="auto"/>
            </w:tcBorders>
            <w:shd w:val="clear" w:color="000000" w:fill="FFE884"/>
            <w:noWrap/>
            <w:vAlign w:val="bottom"/>
            <w:hideMark/>
          </w:tcPr>
          <w:p w14:paraId="38E1B31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w:t>
            </w:r>
          </w:p>
        </w:tc>
        <w:tc>
          <w:tcPr>
            <w:tcW w:w="580" w:type="dxa"/>
            <w:tcBorders>
              <w:top w:val="single" w:sz="4" w:space="0" w:color="auto"/>
              <w:left w:val="single" w:sz="4" w:space="0" w:color="auto"/>
              <w:bottom w:val="single" w:sz="4" w:space="0" w:color="auto"/>
              <w:right w:val="single" w:sz="4" w:space="0" w:color="auto"/>
            </w:tcBorders>
            <w:shd w:val="clear" w:color="000000" w:fill="FFE683"/>
            <w:noWrap/>
            <w:vAlign w:val="bottom"/>
            <w:hideMark/>
          </w:tcPr>
          <w:p w14:paraId="45A17B7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44,8</w:t>
            </w:r>
          </w:p>
        </w:tc>
        <w:tc>
          <w:tcPr>
            <w:tcW w:w="580" w:type="dxa"/>
            <w:tcBorders>
              <w:top w:val="single" w:sz="4" w:space="0" w:color="auto"/>
              <w:left w:val="single" w:sz="4" w:space="0" w:color="auto"/>
              <w:bottom w:val="single" w:sz="4" w:space="0" w:color="auto"/>
              <w:right w:val="single" w:sz="4" w:space="0" w:color="auto"/>
            </w:tcBorders>
            <w:shd w:val="clear" w:color="000000" w:fill="FFE984"/>
            <w:noWrap/>
            <w:vAlign w:val="bottom"/>
            <w:hideMark/>
          </w:tcPr>
          <w:p w14:paraId="5F0A377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43,8</w:t>
            </w:r>
          </w:p>
        </w:tc>
        <w:tc>
          <w:tcPr>
            <w:tcW w:w="580" w:type="dxa"/>
            <w:tcBorders>
              <w:top w:val="single" w:sz="4" w:space="0" w:color="auto"/>
              <w:left w:val="single" w:sz="4" w:space="0" w:color="auto"/>
              <w:bottom w:val="single" w:sz="4" w:space="0" w:color="auto"/>
              <w:right w:val="single" w:sz="4" w:space="0" w:color="auto"/>
            </w:tcBorders>
            <w:shd w:val="clear" w:color="000000" w:fill="FFE082"/>
            <w:noWrap/>
            <w:vAlign w:val="bottom"/>
            <w:hideMark/>
          </w:tcPr>
          <w:p w14:paraId="25FF4CD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47,6</w:t>
            </w:r>
          </w:p>
        </w:tc>
        <w:tc>
          <w:tcPr>
            <w:tcW w:w="580" w:type="dxa"/>
            <w:tcBorders>
              <w:top w:val="single" w:sz="4" w:space="0" w:color="auto"/>
              <w:left w:val="single" w:sz="4" w:space="0" w:color="auto"/>
              <w:bottom w:val="single" w:sz="4" w:space="0" w:color="auto"/>
              <w:right w:val="single" w:sz="4" w:space="0" w:color="auto"/>
            </w:tcBorders>
            <w:shd w:val="clear" w:color="000000" w:fill="FDBB7B"/>
            <w:noWrap/>
            <w:vAlign w:val="bottom"/>
            <w:hideMark/>
          </w:tcPr>
          <w:p w14:paraId="4E32AD5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63,8</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92FC98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0953165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21,8</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538DAAD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7CE0487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19,6</w:t>
            </w:r>
          </w:p>
        </w:tc>
      </w:tr>
      <w:tr w:rsidR="00D56552" w:rsidRPr="00D56552" w14:paraId="4939EC57" w14:textId="77777777" w:rsidTr="00D56552">
        <w:trPr>
          <w:trHeight w:val="290"/>
        </w:trPr>
        <w:tc>
          <w:tcPr>
            <w:tcW w:w="1194" w:type="dxa"/>
            <w:vMerge w:val="restart"/>
            <w:tcBorders>
              <w:top w:val="nil"/>
              <w:left w:val="single" w:sz="4" w:space="0" w:color="auto"/>
              <w:bottom w:val="single" w:sz="4" w:space="0" w:color="auto"/>
              <w:right w:val="single" w:sz="4" w:space="0" w:color="auto"/>
            </w:tcBorders>
            <w:noWrap/>
            <w:vAlign w:val="bottom"/>
            <w:hideMark/>
          </w:tcPr>
          <w:p w14:paraId="524ED3F0" w14:textId="77777777" w:rsidR="00D56552" w:rsidRPr="00D56552" w:rsidRDefault="00D56552">
            <w:pPr>
              <w:jc w:val="center"/>
              <w:rPr>
                <w:rFonts w:ascii="Aptos Narrow" w:hAnsi="Aptos Narrow"/>
                <w:i/>
                <w:iCs/>
                <w:color w:val="000000"/>
                <w:sz w:val="18"/>
                <w:szCs w:val="18"/>
              </w:rPr>
            </w:pPr>
            <w:r w:rsidRPr="00D56552">
              <w:rPr>
                <w:rFonts w:ascii="Aptos Narrow" w:hAnsi="Aptos Narrow"/>
                <w:i/>
                <w:iCs/>
                <w:color w:val="000000"/>
                <w:sz w:val="18"/>
                <w:szCs w:val="18"/>
              </w:rPr>
              <w:t>Phenuiviridae</w:t>
            </w:r>
          </w:p>
        </w:tc>
        <w:tc>
          <w:tcPr>
            <w:tcW w:w="1084" w:type="dxa"/>
            <w:tcBorders>
              <w:top w:val="nil"/>
              <w:left w:val="nil"/>
              <w:bottom w:val="single" w:sz="4" w:space="0" w:color="auto"/>
              <w:right w:val="single" w:sz="4" w:space="0" w:color="auto"/>
            </w:tcBorders>
            <w:noWrap/>
            <w:vAlign w:val="bottom"/>
            <w:hideMark/>
          </w:tcPr>
          <w:p w14:paraId="35257A80" w14:textId="77777777" w:rsidR="00D56552" w:rsidRPr="00D56552" w:rsidRDefault="00D56552">
            <w:pPr>
              <w:jc w:val="center"/>
              <w:rPr>
                <w:rFonts w:ascii="Aptos Narrow" w:hAnsi="Aptos Narrow"/>
                <w:i/>
                <w:iCs/>
                <w:color w:val="000000"/>
                <w:sz w:val="18"/>
                <w:szCs w:val="18"/>
              </w:rPr>
            </w:pPr>
            <w:r w:rsidRPr="00D56552">
              <w:rPr>
                <w:rFonts w:ascii="Aptos Narrow" w:hAnsi="Aptos Narrow"/>
                <w:i/>
                <w:iCs/>
                <w:color w:val="000000"/>
                <w:sz w:val="18"/>
                <w:szCs w:val="18"/>
              </w:rPr>
              <w:t>Horwuvirus</w:t>
            </w:r>
          </w:p>
        </w:tc>
        <w:tc>
          <w:tcPr>
            <w:tcW w:w="3043" w:type="dxa"/>
            <w:tcBorders>
              <w:top w:val="nil"/>
              <w:left w:val="nil"/>
              <w:bottom w:val="single" w:sz="4" w:space="0" w:color="auto"/>
              <w:right w:val="single" w:sz="4" w:space="0" w:color="auto"/>
            </w:tcBorders>
            <w:noWrap/>
            <w:vAlign w:val="bottom"/>
            <w:hideMark/>
          </w:tcPr>
          <w:p w14:paraId="79D951F2"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AJG39260.1_Wuhan_Horsefly_virus</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21299BC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22,1</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5449629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c>
          <w:tcPr>
            <w:tcW w:w="580" w:type="dxa"/>
            <w:tcBorders>
              <w:top w:val="single" w:sz="4" w:space="0" w:color="auto"/>
              <w:left w:val="single" w:sz="4" w:space="0" w:color="auto"/>
              <w:bottom w:val="single" w:sz="4" w:space="0" w:color="auto"/>
              <w:right w:val="single" w:sz="4" w:space="0" w:color="auto"/>
            </w:tcBorders>
            <w:shd w:val="clear" w:color="000000" w:fill="76C37C"/>
            <w:noWrap/>
            <w:vAlign w:val="bottom"/>
            <w:hideMark/>
          </w:tcPr>
          <w:p w14:paraId="1E57A05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22,5</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22AEAB2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6AC07B"/>
            <w:noWrap/>
            <w:vAlign w:val="bottom"/>
            <w:hideMark/>
          </w:tcPr>
          <w:p w14:paraId="21E9D66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20,7</w:t>
            </w:r>
          </w:p>
        </w:tc>
        <w:tc>
          <w:tcPr>
            <w:tcW w:w="580" w:type="dxa"/>
            <w:tcBorders>
              <w:top w:val="single" w:sz="4" w:space="0" w:color="auto"/>
              <w:left w:val="single" w:sz="4" w:space="0" w:color="auto"/>
              <w:bottom w:val="single" w:sz="4" w:space="0" w:color="auto"/>
              <w:right w:val="single" w:sz="4" w:space="0" w:color="auto"/>
            </w:tcBorders>
            <w:shd w:val="clear" w:color="000000" w:fill="86C87D"/>
            <w:noWrap/>
            <w:vAlign w:val="bottom"/>
            <w:hideMark/>
          </w:tcPr>
          <w:p w14:paraId="22D4282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24,8</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40164DF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21,8</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32B9F418"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9CCE7E"/>
            <w:noWrap/>
            <w:vAlign w:val="bottom"/>
            <w:hideMark/>
          </w:tcPr>
          <w:p w14:paraId="22D5FDC2"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28,1</w:t>
            </w:r>
          </w:p>
        </w:tc>
        <w:tc>
          <w:tcPr>
            <w:tcW w:w="580" w:type="dxa"/>
            <w:tcBorders>
              <w:top w:val="single" w:sz="4" w:space="0" w:color="auto"/>
              <w:left w:val="single" w:sz="4" w:space="0" w:color="auto"/>
              <w:bottom w:val="single" w:sz="4" w:space="0" w:color="auto"/>
              <w:right w:val="single" w:sz="4" w:space="0" w:color="auto"/>
            </w:tcBorders>
            <w:shd w:val="clear" w:color="000000" w:fill="89C97D"/>
            <w:noWrap/>
            <w:vAlign w:val="bottom"/>
            <w:hideMark/>
          </w:tcPr>
          <w:p w14:paraId="0674C86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r>
      <w:tr w:rsidR="00D56552" w:rsidRPr="00D56552" w14:paraId="116271A2" w14:textId="77777777" w:rsidTr="00D56552">
        <w:trPr>
          <w:trHeight w:val="290"/>
        </w:trPr>
        <w:tc>
          <w:tcPr>
            <w:tcW w:w="1194" w:type="dxa"/>
            <w:vMerge/>
            <w:tcBorders>
              <w:top w:val="nil"/>
              <w:left w:val="single" w:sz="4" w:space="0" w:color="auto"/>
              <w:bottom w:val="single" w:sz="4" w:space="0" w:color="auto"/>
              <w:right w:val="single" w:sz="4" w:space="0" w:color="auto"/>
            </w:tcBorders>
            <w:vAlign w:val="center"/>
            <w:hideMark/>
          </w:tcPr>
          <w:p w14:paraId="4E2CB147" w14:textId="77777777" w:rsidR="00D56552" w:rsidRPr="00D56552" w:rsidRDefault="00D56552">
            <w:pPr>
              <w:rPr>
                <w:rFonts w:ascii="Aptos Narrow" w:hAnsi="Aptos Narrow"/>
                <w:i/>
                <w:iCs/>
                <w:color w:val="000000"/>
                <w:sz w:val="18"/>
                <w:szCs w:val="18"/>
              </w:rPr>
            </w:pPr>
          </w:p>
        </w:tc>
        <w:tc>
          <w:tcPr>
            <w:tcW w:w="1084" w:type="dxa"/>
            <w:tcBorders>
              <w:top w:val="nil"/>
              <w:left w:val="nil"/>
              <w:bottom w:val="single" w:sz="4" w:space="0" w:color="auto"/>
              <w:right w:val="single" w:sz="4" w:space="0" w:color="auto"/>
            </w:tcBorders>
            <w:noWrap/>
            <w:vAlign w:val="bottom"/>
            <w:hideMark/>
          </w:tcPr>
          <w:p w14:paraId="2399CB4F" w14:textId="77777777" w:rsidR="00D56552" w:rsidRPr="00D56552" w:rsidRDefault="00D56552">
            <w:pPr>
              <w:jc w:val="center"/>
              <w:rPr>
                <w:rFonts w:ascii="Aptos Narrow" w:hAnsi="Aptos Narrow"/>
                <w:i/>
                <w:iCs/>
                <w:color w:val="000000"/>
                <w:sz w:val="18"/>
                <w:szCs w:val="18"/>
              </w:rPr>
            </w:pPr>
            <w:r w:rsidRPr="00D56552">
              <w:rPr>
                <w:rFonts w:ascii="Aptos Narrow" w:hAnsi="Aptos Narrow"/>
                <w:i/>
                <w:iCs/>
                <w:color w:val="000000"/>
                <w:sz w:val="18"/>
                <w:szCs w:val="18"/>
              </w:rPr>
              <w:t>Phlebovirus</w:t>
            </w:r>
          </w:p>
        </w:tc>
        <w:tc>
          <w:tcPr>
            <w:tcW w:w="3043" w:type="dxa"/>
            <w:tcBorders>
              <w:top w:val="nil"/>
              <w:left w:val="nil"/>
              <w:bottom w:val="single" w:sz="4" w:space="0" w:color="auto"/>
              <w:right w:val="single" w:sz="4" w:space="0" w:color="auto"/>
            </w:tcBorders>
            <w:noWrap/>
            <w:vAlign w:val="bottom"/>
            <w:hideMark/>
          </w:tcPr>
          <w:p w14:paraId="5E19595C"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WJL97919.1_Rift_valley_fever_virus</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0D85F91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67B1929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4C37C"/>
            <w:noWrap/>
            <w:vAlign w:val="bottom"/>
            <w:hideMark/>
          </w:tcPr>
          <w:p w14:paraId="22517D47"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22,2</w:t>
            </w:r>
          </w:p>
        </w:tc>
        <w:tc>
          <w:tcPr>
            <w:tcW w:w="580" w:type="dxa"/>
            <w:tcBorders>
              <w:top w:val="single" w:sz="4" w:space="0" w:color="auto"/>
              <w:left w:val="single" w:sz="4" w:space="0" w:color="auto"/>
              <w:bottom w:val="single" w:sz="4" w:space="0" w:color="auto"/>
              <w:right w:val="single" w:sz="4" w:space="0" w:color="auto"/>
            </w:tcBorders>
            <w:shd w:val="clear" w:color="000000" w:fill="73C27B"/>
            <w:noWrap/>
            <w:vAlign w:val="bottom"/>
            <w:hideMark/>
          </w:tcPr>
          <w:p w14:paraId="2B3FDF24"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22</w:t>
            </w:r>
          </w:p>
        </w:tc>
        <w:tc>
          <w:tcPr>
            <w:tcW w:w="580" w:type="dxa"/>
            <w:tcBorders>
              <w:top w:val="single" w:sz="4" w:space="0" w:color="auto"/>
              <w:left w:val="single" w:sz="4" w:space="0" w:color="auto"/>
              <w:bottom w:val="single" w:sz="4" w:space="0" w:color="auto"/>
              <w:right w:val="single" w:sz="4" w:space="0" w:color="auto"/>
            </w:tcBorders>
            <w:shd w:val="clear" w:color="000000" w:fill="6DC17B"/>
            <w:noWrap/>
            <w:vAlign w:val="bottom"/>
            <w:hideMark/>
          </w:tcPr>
          <w:p w14:paraId="4C60337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21,2</w:t>
            </w:r>
          </w:p>
        </w:tc>
        <w:tc>
          <w:tcPr>
            <w:tcW w:w="580" w:type="dxa"/>
            <w:tcBorders>
              <w:top w:val="single" w:sz="4" w:space="0" w:color="auto"/>
              <w:left w:val="single" w:sz="4" w:space="0" w:color="auto"/>
              <w:bottom w:val="single" w:sz="4" w:space="0" w:color="auto"/>
              <w:right w:val="single" w:sz="4" w:space="0" w:color="auto"/>
            </w:tcBorders>
            <w:shd w:val="clear" w:color="000000" w:fill="88C87D"/>
            <w:noWrap/>
            <w:vAlign w:val="bottom"/>
            <w:hideMark/>
          </w:tcPr>
          <w:p w14:paraId="21A2DF0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c>
          <w:tcPr>
            <w:tcW w:w="580" w:type="dxa"/>
            <w:tcBorders>
              <w:top w:val="single" w:sz="4" w:space="0" w:color="auto"/>
              <w:left w:val="single" w:sz="4" w:space="0" w:color="auto"/>
              <w:bottom w:val="single" w:sz="4" w:space="0" w:color="auto"/>
              <w:right w:val="single" w:sz="4" w:space="0" w:color="auto"/>
            </w:tcBorders>
            <w:shd w:val="clear" w:color="000000" w:fill="72C27B"/>
            <w:noWrap/>
            <w:vAlign w:val="bottom"/>
            <w:hideMark/>
          </w:tcPr>
          <w:p w14:paraId="0051F87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21,9</w:t>
            </w:r>
          </w:p>
        </w:tc>
        <w:tc>
          <w:tcPr>
            <w:tcW w:w="580" w:type="dxa"/>
            <w:tcBorders>
              <w:top w:val="single" w:sz="4" w:space="0" w:color="auto"/>
              <w:left w:val="single" w:sz="4" w:space="0" w:color="auto"/>
              <w:bottom w:val="single" w:sz="4" w:space="0" w:color="auto"/>
              <w:right w:val="single" w:sz="4" w:space="0" w:color="auto"/>
            </w:tcBorders>
            <w:shd w:val="clear" w:color="000000" w:fill="9CCE7E"/>
            <w:noWrap/>
            <w:vAlign w:val="bottom"/>
            <w:hideMark/>
          </w:tcPr>
          <w:p w14:paraId="63B6A60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28,1</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710D4E56"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c>
          <w:tcPr>
            <w:tcW w:w="580" w:type="dxa"/>
            <w:tcBorders>
              <w:top w:val="single" w:sz="4" w:space="0" w:color="auto"/>
              <w:left w:val="single" w:sz="4" w:space="0" w:color="auto"/>
              <w:bottom w:val="single" w:sz="4" w:space="0" w:color="auto"/>
              <w:right w:val="single" w:sz="4" w:space="0" w:color="auto"/>
            </w:tcBorders>
            <w:shd w:val="clear" w:color="000000" w:fill="90CB7D"/>
            <w:noWrap/>
            <w:vAlign w:val="bottom"/>
            <w:hideMark/>
          </w:tcPr>
          <w:p w14:paraId="26832D02"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26,3</w:t>
            </w:r>
          </w:p>
        </w:tc>
      </w:tr>
      <w:tr w:rsidR="00D56552" w:rsidRPr="00D56552" w14:paraId="5EFEDBB1" w14:textId="77777777" w:rsidTr="00D56552">
        <w:trPr>
          <w:trHeight w:val="290"/>
        </w:trPr>
        <w:tc>
          <w:tcPr>
            <w:tcW w:w="1194" w:type="dxa"/>
            <w:vMerge/>
            <w:tcBorders>
              <w:top w:val="nil"/>
              <w:left w:val="single" w:sz="4" w:space="0" w:color="auto"/>
              <w:bottom w:val="single" w:sz="4" w:space="0" w:color="auto"/>
              <w:right w:val="single" w:sz="4" w:space="0" w:color="auto"/>
            </w:tcBorders>
            <w:vAlign w:val="center"/>
            <w:hideMark/>
          </w:tcPr>
          <w:p w14:paraId="08AE0768" w14:textId="77777777" w:rsidR="00D56552" w:rsidRPr="00D56552" w:rsidRDefault="00D56552">
            <w:pPr>
              <w:rPr>
                <w:rFonts w:ascii="Aptos Narrow" w:hAnsi="Aptos Narrow"/>
                <w:i/>
                <w:iCs/>
                <w:color w:val="000000"/>
                <w:sz w:val="18"/>
                <w:szCs w:val="18"/>
              </w:rPr>
            </w:pPr>
          </w:p>
        </w:tc>
        <w:tc>
          <w:tcPr>
            <w:tcW w:w="1084" w:type="dxa"/>
            <w:tcBorders>
              <w:top w:val="nil"/>
              <w:left w:val="nil"/>
              <w:bottom w:val="single" w:sz="4" w:space="0" w:color="auto"/>
              <w:right w:val="single" w:sz="4" w:space="0" w:color="auto"/>
            </w:tcBorders>
            <w:noWrap/>
            <w:vAlign w:val="center"/>
            <w:hideMark/>
          </w:tcPr>
          <w:p w14:paraId="175ED310" w14:textId="77777777" w:rsidR="00D56552" w:rsidRPr="00D56552" w:rsidRDefault="00D56552">
            <w:pPr>
              <w:jc w:val="center"/>
              <w:rPr>
                <w:rFonts w:ascii="Aptos Narrow" w:hAnsi="Aptos Narrow"/>
                <w:i/>
                <w:iCs/>
                <w:color w:val="000000"/>
                <w:sz w:val="18"/>
                <w:szCs w:val="18"/>
              </w:rPr>
            </w:pPr>
            <w:r w:rsidRPr="00D56552">
              <w:rPr>
                <w:rFonts w:ascii="Aptos Narrow" w:hAnsi="Aptos Narrow"/>
                <w:i/>
                <w:iCs/>
                <w:color w:val="000000"/>
                <w:sz w:val="18"/>
                <w:szCs w:val="18"/>
              </w:rPr>
              <w:t>Pidchovirus</w:t>
            </w:r>
          </w:p>
        </w:tc>
        <w:tc>
          <w:tcPr>
            <w:tcW w:w="3043" w:type="dxa"/>
            <w:tcBorders>
              <w:top w:val="nil"/>
              <w:left w:val="nil"/>
              <w:bottom w:val="single" w:sz="4" w:space="0" w:color="auto"/>
              <w:right w:val="single" w:sz="4" w:space="0" w:color="auto"/>
            </w:tcBorders>
            <w:noWrap/>
            <w:vAlign w:val="bottom"/>
            <w:hideMark/>
          </w:tcPr>
          <w:p w14:paraId="2BD3BBB8" w14:textId="77777777" w:rsidR="00D56552" w:rsidRPr="00D56552" w:rsidRDefault="00D56552">
            <w:pPr>
              <w:rPr>
                <w:rFonts w:ascii="Aptos Narrow" w:hAnsi="Aptos Narrow"/>
                <w:color w:val="000000"/>
                <w:sz w:val="18"/>
                <w:szCs w:val="18"/>
              </w:rPr>
            </w:pPr>
            <w:r w:rsidRPr="00D56552">
              <w:rPr>
                <w:rFonts w:ascii="Aptos Narrow" w:hAnsi="Aptos Narrow"/>
                <w:color w:val="000000"/>
                <w:sz w:val="18"/>
                <w:szCs w:val="18"/>
              </w:rPr>
              <w:t>AOX47534.1_Pidgey_virus</w:t>
            </w:r>
          </w:p>
        </w:tc>
        <w:tc>
          <w:tcPr>
            <w:tcW w:w="580" w:type="dxa"/>
            <w:tcBorders>
              <w:top w:val="single" w:sz="4" w:space="0" w:color="auto"/>
              <w:left w:val="single" w:sz="4" w:space="0" w:color="auto"/>
              <w:bottom w:val="single" w:sz="4" w:space="0" w:color="auto"/>
              <w:right w:val="single" w:sz="4" w:space="0" w:color="auto"/>
            </w:tcBorders>
            <w:shd w:val="clear" w:color="000000" w:fill="70C17B"/>
            <w:noWrap/>
            <w:vAlign w:val="bottom"/>
            <w:hideMark/>
          </w:tcPr>
          <w:p w14:paraId="74D5507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21,6</w:t>
            </w:r>
          </w:p>
        </w:tc>
        <w:tc>
          <w:tcPr>
            <w:tcW w:w="580" w:type="dxa"/>
            <w:tcBorders>
              <w:top w:val="single" w:sz="4" w:space="0" w:color="auto"/>
              <w:left w:val="single" w:sz="4" w:space="0" w:color="auto"/>
              <w:bottom w:val="single" w:sz="4" w:space="0" w:color="auto"/>
              <w:right w:val="single" w:sz="4" w:space="0" w:color="auto"/>
            </w:tcBorders>
            <w:shd w:val="clear" w:color="000000" w:fill="68BF7B"/>
            <w:noWrap/>
            <w:vAlign w:val="bottom"/>
            <w:hideMark/>
          </w:tcPr>
          <w:p w14:paraId="367BEDA5"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20,4</w:t>
            </w:r>
          </w:p>
        </w:tc>
        <w:tc>
          <w:tcPr>
            <w:tcW w:w="580" w:type="dxa"/>
            <w:tcBorders>
              <w:top w:val="single" w:sz="4" w:space="0" w:color="auto"/>
              <w:left w:val="single" w:sz="4" w:space="0" w:color="auto"/>
              <w:bottom w:val="single" w:sz="4" w:space="0" w:color="auto"/>
              <w:right w:val="single" w:sz="4" w:space="0" w:color="auto"/>
            </w:tcBorders>
            <w:shd w:val="clear" w:color="000000" w:fill="71C27B"/>
            <w:noWrap/>
            <w:vAlign w:val="bottom"/>
            <w:hideMark/>
          </w:tcPr>
          <w:p w14:paraId="4B58B0AD"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21,7</w:t>
            </w:r>
          </w:p>
        </w:tc>
        <w:tc>
          <w:tcPr>
            <w:tcW w:w="580" w:type="dxa"/>
            <w:tcBorders>
              <w:top w:val="single" w:sz="4" w:space="0" w:color="auto"/>
              <w:left w:val="single" w:sz="4" w:space="0" w:color="auto"/>
              <w:bottom w:val="single" w:sz="4" w:space="0" w:color="auto"/>
              <w:right w:val="single" w:sz="4" w:space="0" w:color="auto"/>
            </w:tcBorders>
            <w:shd w:val="clear" w:color="000000" w:fill="6BC07B"/>
            <w:noWrap/>
            <w:vAlign w:val="bottom"/>
            <w:hideMark/>
          </w:tcPr>
          <w:p w14:paraId="247EBF9B"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20,9</w:t>
            </w:r>
          </w:p>
        </w:tc>
        <w:tc>
          <w:tcPr>
            <w:tcW w:w="580" w:type="dxa"/>
            <w:tcBorders>
              <w:top w:val="single" w:sz="4" w:space="0" w:color="auto"/>
              <w:left w:val="single" w:sz="4" w:space="0" w:color="auto"/>
              <w:bottom w:val="single" w:sz="4" w:space="0" w:color="auto"/>
              <w:right w:val="single" w:sz="4" w:space="0" w:color="auto"/>
            </w:tcBorders>
            <w:shd w:val="clear" w:color="000000" w:fill="64BE7B"/>
            <w:noWrap/>
            <w:vAlign w:val="bottom"/>
            <w:hideMark/>
          </w:tcPr>
          <w:p w14:paraId="2D896039"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19,9</w:t>
            </w:r>
          </w:p>
        </w:tc>
        <w:tc>
          <w:tcPr>
            <w:tcW w:w="580" w:type="dxa"/>
            <w:tcBorders>
              <w:top w:val="single" w:sz="4" w:space="0" w:color="auto"/>
              <w:left w:val="single" w:sz="4" w:space="0" w:color="auto"/>
              <w:bottom w:val="single" w:sz="4" w:space="0" w:color="auto"/>
              <w:right w:val="single" w:sz="4" w:space="0" w:color="auto"/>
            </w:tcBorders>
            <w:shd w:val="clear" w:color="000000" w:fill="83C77C"/>
            <w:noWrap/>
            <w:vAlign w:val="bottom"/>
            <w:hideMark/>
          </w:tcPr>
          <w:p w14:paraId="0A3D260E"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24,4</w:t>
            </w:r>
          </w:p>
        </w:tc>
        <w:tc>
          <w:tcPr>
            <w:tcW w:w="58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66E9952A"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19,6</w:t>
            </w:r>
          </w:p>
        </w:tc>
        <w:tc>
          <w:tcPr>
            <w:tcW w:w="580" w:type="dxa"/>
            <w:tcBorders>
              <w:top w:val="single" w:sz="4" w:space="0" w:color="auto"/>
              <w:left w:val="single" w:sz="4" w:space="0" w:color="auto"/>
              <w:bottom w:val="single" w:sz="4" w:space="0" w:color="auto"/>
              <w:right w:val="single" w:sz="4" w:space="0" w:color="auto"/>
            </w:tcBorders>
            <w:shd w:val="clear" w:color="000000" w:fill="89C97D"/>
            <w:noWrap/>
            <w:vAlign w:val="bottom"/>
            <w:hideMark/>
          </w:tcPr>
          <w:p w14:paraId="2A0C614C"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25,2</w:t>
            </w:r>
          </w:p>
        </w:tc>
        <w:tc>
          <w:tcPr>
            <w:tcW w:w="580" w:type="dxa"/>
            <w:tcBorders>
              <w:top w:val="single" w:sz="4" w:space="0" w:color="auto"/>
              <w:left w:val="single" w:sz="4" w:space="0" w:color="auto"/>
              <w:bottom w:val="single" w:sz="4" w:space="0" w:color="auto"/>
              <w:right w:val="single" w:sz="4" w:space="0" w:color="auto"/>
            </w:tcBorders>
            <w:shd w:val="clear" w:color="000000" w:fill="90CB7D"/>
            <w:noWrap/>
            <w:vAlign w:val="bottom"/>
            <w:hideMark/>
          </w:tcPr>
          <w:p w14:paraId="37FD6FCF"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26,3</w:t>
            </w:r>
          </w:p>
        </w:tc>
        <w:tc>
          <w:tcPr>
            <w:tcW w:w="580"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10B731D1" w14:textId="77777777" w:rsidR="00D56552" w:rsidRPr="00D56552" w:rsidRDefault="00D56552">
            <w:pPr>
              <w:jc w:val="right"/>
              <w:rPr>
                <w:rFonts w:ascii="Aptos Narrow" w:hAnsi="Aptos Narrow"/>
                <w:color w:val="000000"/>
                <w:sz w:val="18"/>
                <w:szCs w:val="18"/>
              </w:rPr>
            </w:pPr>
            <w:r w:rsidRPr="00D56552">
              <w:rPr>
                <w:rFonts w:ascii="Aptos Narrow" w:hAnsi="Aptos Narrow"/>
                <w:color w:val="000000"/>
                <w:sz w:val="18"/>
                <w:szCs w:val="18"/>
              </w:rPr>
              <w:t>100</w:t>
            </w:r>
          </w:p>
        </w:tc>
      </w:tr>
    </w:tbl>
    <w:p w14:paraId="3DF66B8A" w14:textId="77777777" w:rsidR="00D56552" w:rsidRDefault="00D56552" w:rsidP="00194378">
      <w:pPr>
        <w:spacing w:line="480" w:lineRule="auto"/>
        <w:jc w:val="both"/>
        <w:rPr>
          <w:b/>
          <w:bCs/>
        </w:rPr>
      </w:pPr>
    </w:p>
    <w:p w14:paraId="22B9B729" w14:textId="596A5499" w:rsidR="00194378" w:rsidRPr="000B786F" w:rsidRDefault="00194378" w:rsidP="00194378">
      <w:pPr>
        <w:spacing w:line="480" w:lineRule="auto"/>
        <w:jc w:val="both"/>
        <w:rPr>
          <w:b/>
          <w:bCs/>
        </w:rPr>
      </w:pPr>
      <w:r w:rsidRPr="000B786F">
        <w:rPr>
          <w:b/>
          <w:bCs/>
        </w:rPr>
        <w:t xml:space="preserve">Table </w:t>
      </w:r>
      <w:r w:rsidR="00D56552">
        <w:rPr>
          <w:b/>
          <w:bCs/>
        </w:rPr>
        <w:t>2</w:t>
      </w:r>
      <w:r>
        <w:rPr>
          <w:b/>
          <w:bCs/>
        </w:rPr>
        <w:t>|</w:t>
      </w:r>
      <w:r w:rsidRPr="000B786F">
        <w:rPr>
          <w:b/>
          <w:bCs/>
        </w:rPr>
        <w:t xml:space="preserve"> Terminal nucleotides of the RNA segments of Hubei Blood Fluke virus 1 and 2.</w:t>
      </w:r>
    </w:p>
    <w:tbl>
      <w:tblPr>
        <w:tblStyle w:val="TableGrid"/>
        <w:tblW w:w="0" w:type="auto"/>
        <w:tblLook w:val="04A0" w:firstRow="1" w:lastRow="0" w:firstColumn="1" w:lastColumn="0" w:noHBand="0" w:noVBand="1"/>
      </w:tblPr>
      <w:tblGrid>
        <w:gridCol w:w="1420"/>
        <w:gridCol w:w="1407"/>
        <w:gridCol w:w="3055"/>
        <w:gridCol w:w="3055"/>
      </w:tblGrid>
      <w:tr w:rsidR="00194378" w:rsidRPr="000B786F" w14:paraId="17F0BD65" w14:textId="77777777" w:rsidTr="00404430">
        <w:trPr>
          <w:trHeight w:val="271"/>
        </w:trPr>
        <w:tc>
          <w:tcPr>
            <w:tcW w:w="1420" w:type="dxa"/>
            <w:vAlign w:val="center"/>
          </w:tcPr>
          <w:p w14:paraId="49B45E29" w14:textId="77777777" w:rsidR="00194378" w:rsidRPr="000B786F" w:rsidRDefault="00194378" w:rsidP="00404430">
            <w:pPr>
              <w:spacing w:line="480" w:lineRule="auto"/>
              <w:jc w:val="center"/>
            </w:pPr>
            <w:r>
              <w:t>V</w:t>
            </w:r>
            <w:r w:rsidRPr="000B786F">
              <w:t>irus</w:t>
            </w:r>
          </w:p>
        </w:tc>
        <w:tc>
          <w:tcPr>
            <w:tcW w:w="1407" w:type="dxa"/>
            <w:vAlign w:val="center"/>
          </w:tcPr>
          <w:p w14:paraId="278D2290" w14:textId="77777777" w:rsidR="00194378" w:rsidRPr="000B786F" w:rsidRDefault="00194378" w:rsidP="00404430">
            <w:pPr>
              <w:spacing w:line="480" w:lineRule="auto"/>
              <w:jc w:val="center"/>
            </w:pPr>
            <w:r>
              <w:t>S</w:t>
            </w:r>
            <w:r w:rsidRPr="000B786F">
              <w:t>egments</w:t>
            </w:r>
          </w:p>
        </w:tc>
        <w:tc>
          <w:tcPr>
            <w:tcW w:w="3055" w:type="dxa"/>
            <w:vAlign w:val="center"/>
          </w:tcPr>
          <w:p w14:paraId="6C73B5B7" w14:textId="77777777" w:rsidR="00194378" w:rsidRPr="000B786F" w:rsidRDefault="00194378" w:rsidP="00404430">
            <w:pPr>
              <w:spacing w:line="480" w:lineRule="auto"/>
              <w:jc w:val="center"/>
            </w:pPr>
            <w:r w:rsidRPr="000B786F">
              <w:t>3’ termini</w:t>
            </w:r>
          </w:p>
        </w:tc>
        <w:tc>
          <w:tcPr>
            <w:tcW w:w="3055" w:type="dxa"/>
            <w:vAlign w:val="center"/>
          </w:tcPr>
          <w:p w14:paraId="2E0F31A8" w14:textId="77777777" w:rsidR="00194378" w:rsidRPr="000B786F" w:rsidRDefault="00194378" w:rsidP="00404430">
            <w:pPr>
              <w:spacing w:line="480" w:lineRule="auto"/>
              <w:jc w:val="center"/>
            </w:pPr>
            <w:r w:rsidRPr="000B786F">
              <w:t>5’termini</w:t>
            </w:r>
          </w:p>
        </w:tc>
      </w:tr>
      <w:tr w:rsidR="00194378" w:rsidRPr="000B786F" w14:paraId="2BA37686" w14:textId="77777777" w:rsidTr="00404430">
        <w:trPr>
          <w:trHeight w:val="265"/>
        </w:trPr>
        <w:tc>
          <w:tcPr>
            <w:tcW w:w="1420" w:type="dxa"/>
            <w:vMerge w:val="restart"/>
            <w:vAlign w:val="center"/>
          </w:tcPr>
          <w:p w14:paraId="099E8A7C" w14:textId="77777777" w:rsidR="00194378" w:rsidRPr="000B786F" w:rsidRDefault="00194378" w:rsidP="00404430">
            <w:pPr>
              <w:spacing w:line="480" w:lineRule="auto"/>
              <w:jc w:val="center"/>
            </w:pPr>
            <w:r w:rsidRPr="000B786F">
              <w:t>HBFV1</w:t>
            </w:r>
          </w:p>
        </w:tc>
        <w:tc>
          <w:tcPr>
            <w:tcW w:w="1407" w:type="dxa"/>
            <w:vAlign w:val="center"/>
          </w:tcPr>
          <w:p w14:paraId="223372C4" w14:textId="77777777" w:rsidR="00194378" w:rsidRPr="000B786F" w:rsidRDefault="00194378" w:rsidP="00404430">
            <w:pPr>
              <w:spacing w:line="480" w:lineRule="auto"/>
              <w:jc w:val="center"/>
            </w:pPr>
            <w:r w:rsidRPr="000B786F">
              <w:t>L</w:t>
            </w:r>
          </w:p>
        </w:tc>
        <w:tc>
          <w:tcPr>
            <w:tcW w:w="3055" w:type="dxa"/>
            <w:vAlign w:val="center"/>
          </w:tcPr>
          <w:p w14:paraId="2AC69A21"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ACACAACGACACCAG</w:t>
            </w:r>
          </w:p>
        </w:tc>
        <w:tc>
          <w:tcPr>
            <w:tcW w:w="3055" w:type="dxa"/>
            <w:vAlign w:val="center"/>
          </w:tcPr>
          <w:p w14:paraId="20139E0F"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UGGUGGUCAAUGUGU</w:t>
            </w:r>
          </w:p>
        </w:tc>
      </w:tr>
      <w:tr w:rsidR="00194378" w:rsidRPr="000B786F" w14:paraId="0CC29076" w14:textId="77777777" w:rsidTr="00404430">
        <w:trPr>
          <w:trHeight w:val="138"/>
        </w:trPr>
        <w:tc>
          <w:tcPr>
            <w:tcW w:w="1420" w:type="dxa"/>
            <w:vMerge/>
            <w:vAlign w:val="center"/>
          </w:tcPr>
          <w:p w14:paraId="3906BAB0" w14:textId="77777777" w:rsidR="00194378" w:rsidRPr="000B786F" w:rsidRDefault="00194378" w:rsidP="00404430">
            <w:pPr>
              <w:spacing w:line="480" w:lineRule="auto"/>
              <w:jc w:val="center"/>
            </w:pPr>
          </w:p>
        </w:tc>
        <w:tc>
          <w:tcPr>
            <w:tcW w:w="1407" w:type="dxa"/>
            <w:vAlign w:val="center"/>
          </w:tcPr>
          <w:p w14:paraId="5234BAC4" w14:textId="77777777" w:rsidR="00194378" w:rsidRPr="000B786F" w:rsidRDefault="00194378" w:rsidP="00404430">
            <w:pPr>
              <w:spacing w:line="480" w:lineRule="auto"/>
              <w:jc w:val="center"/>
            </w:pPr>
            <w:r w:rsidRPr="000B786F">
              <w:t>S</w:t>
            </w:r>
          </w:p>
        </w:tc>
        <w:tc>
          <w:tcPr>
            <w:tcW w:w="3055" w:type="dxa"/>
            <w:vAlign w:val="center"/>
          </w:tcPr>
          <w:p w14:paraId="4BEDE052"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ACACAUCGACAGCCA</w:t>
            </w:r>
          </w:p>
        </w:tc>
        <w:tc>
          <w:tcPr>
            <w:tcW w:w="3055" w:type="dxa"/>
            <w:vAlign w:val="center"/>
          </w:tcPr>
          <w:p w14:paraId="7FC391F0"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GGCUGGUCGUUGUGU</w:t>
            </w:r>
          </w:p>
        </w:tc>
      </w:tr>
      <w:tr w:rsidR="00194378" w:rsidRPr="000B786F" w14:paraId="0A9EE7D8" w14:textId="77777777" w:rsidTr="00404430">
        <w:trPr>
          <w:trHeight w:val="518"/>
        </w:trPr>
        <w:tc>
          <w:tcPr>
            <w:tcW w:w="1420" w:type="dxa"/>
            <w:vMerge w:val="restart"/>
            <w:vAlign w:val="center"/>
          </w:tcPr>
          <w:p w14:paraId="1F2CC47A" w14:textId="77777777" w:rsidR="00194378" w:rsidRPr="000B786F" w:rsidRDefault="00194378" w:rsidP="00404430">
            <w:pPr>
              <w:spacing w:line="480" w:lineRule="auto"/>
              <w:jc w:val="center"/>
            </w:pPr>
            <w:r w:rsidRPr="000B786F">
              <w:t>HBFV 2</w:t>
            </w:r>
          </w:p>
        </w:tc>
        <w:tc>
          <w:tcPr>
            <w:tcW w:w="1407" w:type="dxa"/>
            <w:vAlign w:val="center"/>
          </w:tcPr>
          <w:p w14:paraId="137A4C59" w14:textId="77777777" w:rsidR="00194378" w:rsidRPr="000B786F" w:rsidRDefault="00194378" w:rsidP="00404430">
            <w:pPr>
              <w:spacing w:line="480" w:lineRule="auto"/>
              <w:jc w:val="center"/>
            </w:pPr>
            <w:r w:rsidRPr="000B786F">
              <w:t>L</w:t>
            </w:r>
          </w:p>
        </w:tc>
        <w:tc>
          <w:tcPr>
            <w:tcW w:w="3055" w:type="dxa"/>
            <w:vAlign w:val="center"/>
          </w:tcPr>
          <w:p w14:paraId="55CFA582"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ACACAACGCCGCCAA</w:t>
            </w:r>
          </w:p>
        </w:tc>
        <w:tc>
          <w:tcPr>
            <w:tcW w:w="3055" w:type="dxa"/>
            <w:vAlign w:val="center"/>
          </w:tcPr>
          <w:p w14:paraId="1A0D4864"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UGGUGGUCGUUGUGU</w:t>
            </w:r>
          </w:p>
        </w:tc>
      </w:tr>
      <w:tr w:rsidR="00194378" w:rsidRPr="000B786F" w14:paraId="5A64F4C4" w14:textId="77777777" w:rsidTr="00404430">
        <w:trPr>
          <w:trHeight w:val="138"/>
        </w:trPr>
        <w:tc>
          <w:tcPr>
            <w:tcW w:w="1420" w:type="dxa"/>
            <w:vMerge/>
            <w:vAlign w:val="center"/>
          </w:tcPr>
          <w:p w14:paraId="0D30EFD6" w14:textId="77777777" w:rsidR="00194378" w:rsidRPr="000B786F" w:rsidRDefault="00194378" w:rsidP="00404430">
            <w:pPr>
              <w:spacing w:line="480" w:lineRule="auto"/>
              <w:jc w:val="center"/>
            </w:pPr>
          </w:p>
        </w:tc>
        <w:tc>
          <w:tcPr>
            <w:tcW w:w="1407" w:type="dxa"/>
            <w:vAlign w:val="center"/>
          </w:tcPr>
          <w:p w14:paraId="296D9838" w14:textId="77777777" w:rsidR="00194378" w:rsidRPr="000B786F" w:rsidRDefault="00194378" w:rsidP="00404430">
            <w:pPr>
              <w:spacing w:line="480" w:lineRule="auto"/>
              <w:jc w:val="center"/>
            </w:pPr>
            <w:r w:rsidRPr="000B786F">
              <w:t>S</w:t>
            </w:r>
          </w:p>
        </w:tc>
        <w:tc>
          <w:tcPr>
            <w:tcW w:w="3055" w:type="dxa"/>
            <w:vAlign w:val="center"/>
          </w:tcPr>
          <w:p w14:paraId="6C756E03"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ACACAACGCCGUCCA</w:t>
            </w:r>
          </w:p>
        </w:tc>
        <w:tc>
          <w:tcPr>
            <w:tcW w:w="3055" w:type="dxa"/>
            <w:vAlign w:val="center"/>
          </w:tcPr>
          <w:p w14:paraId="700A68D7" w14:textId="77777777" w:rsidR="00194378" w:rsidRPr="000B786F" w:rsidRDefault="00194378" w:rsidP="00404430">
            <w:pPr>
              <w:spacing w:line="480" w:lineRule="auto"/>
              <w:jc w:val="center"/>
              <w:rPr>
                <w:rFonts w:ascii="Courier New" w:hAnsi="Courier New" w:cs="Courier New"/>
              </w:rPr>
            </w:pPr>
            <w:r w:rsidRPr="000B786F">
              <w:rPr>
                <w:rFonts w:ascii="Courier New" w:hAnsi="Courier New" w:cs="Courier New"/>
              </w:rPr>
              <w:t>GGACGGUCGUUGUGU</w:t>
            </w:r>
          </w:p>
        </w:tc>
      </w:tr>
    </w:tbl>
    <w:p w14:paraId="6E0EFC5C" w14:textId="77777777" w:rsidR="00194378" w:rsidRDefault="00194378" w:rsidP="00194378">
      <w:pPr>
        <w:spacing w:before="120" w:line="480" w:lineRule="auto"/>
        <w:jc w:val="both"/>
      </w:pPr>
    </w:p>
    <w:p w14:paraId="2DFEC1BC" w14:textId="3029B862" w:rsidR="00FC2269" w:rsidRDefault="00FC2269" w:rsidP="00FC2269">
      <w:pPr>
        <w:rPr>
          <w:rFonts w:ascii="Aptos" w:hAnsi="Aptos" w:cs="Arial"/>
          <w:color w:val="808080" w:themeColor="background1" w:themeShade="80"/>
          <w:sz w:val="20"/>
        </w:rPr>
      </w:pPr>
    </w:p>
    <w:p w14:paraId="588044BA" w14:textId="7FAFCC9D" w:rsidR="00194378" w:rsidRDefault="00194378" w:rsidP="00FC2269">
      <w:pPr>
        <w:rPr>
          <w:rFonts w:ascii="Aptos" w:hAnsi="Aptos" w:cs="Arial"/>
          <w:color w:val="808080" w:themeColor="background1" w:themeShade="80"/>
          <w:sz w:val="20"/>
        </w:rPr>
      </w:pPr>
      <w:r w:rsidRPr="000B786F">
        <w:rPr>
          <w:b/>
          <w:bCs/>
          <w:noProof/>
          <w:u w:val="single"/>
        </w:rPr>
        <w:drawing>
          <wp:inline distT="0" distB="0" distL="0" distR="0" wp14:anchorId="16499DEC" wp14:editId="213C1604">
            <wp:extent cx="5793638" cy="2250515"/>
            <wp:effectExtent l="0" t="0" r="0" b="0"/>
            <wp:docPr id="6460982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395" cy="2254305"/>
                    </a:xfrm>
                    <a:prstGeom prst="rect">
                      <a:avLst/>
                    </a:prstGeom>
                    <a:noFill/>
                  </pic:spPr>
                </pic:pic>
              </a:graphicData>
            </a:graphic>
          </wp:inline>
        </w:drawing>
      </w:r>
    </w:p>
    <w:p w14:paraId="504DA89F" w14:textId="385FEC66" w:rsidR="00194378" w:rsidRDefault="00194378" w:rsidP="00FC2269">
      <w:r w:rsidRPr="000B786F">
        <w:rPr>
          <w:b/>
          <w:bCs/>
          <w:u w:val="single"/>
        </w:rPr>
        <w:t>Figure 1</w:t>
      </w:r>
      <w:r>
        <w:rPr>
          <w:b/>
          <w:bCs/>
          <w:u w:val="single"/>
        </w:rPr>
        <w:t>|</w:t>
      </w:r>
      <w:r w:rsidRPr="000B786F">
        <w:rPr>
          <w:b/>
          <w:bCs/>
          <w:u w:val="single"/>
        </w:rPr>
        <w:t xml:space="preserve"> Phylogenetic relationships of Neodermata-associated </w:t>
      </w:r>
      <w:r w:rsidR="009106A4">
        <w:rPr>
          <w:b/>
          <w:bCs/>
          <w:u w:val="single"/>
        </w:rPr>
        <w:t>“</w:t>
      </w:r>
      <w:r w:rsidR="00DA7590">
        <w:rPr>
          <w:b/>
          <w:bCs/>
          <w:i/>
          <w:iCs/>
        </w:rPr>
        <w:t>Cotylvirus</w:t>
      </w:r>
      <w:r w:rsidR="009106A4">
        <w:rPr>
          <w:b/>
          <w:bCs/>
          <w:u w:val="single"/>
        </w:rPr>
        <w:t>” viruses</w:t>
      </w:r>
      <w:r w:rsidRPr="000B786F">
        <w:rPr>
          <w:b/>
          <w:bCs/>
          <w:u w:val="single"/>
        </w:rPr>
        <w:t xml:space="preserve"> inferred from </w:t>
      </w:r>
      <w:r>
        <w:rPr>
          <w:b/>
          <w:bCs/>
          <w:u w:val="single"/>
        </w:rPr>
        <w:t>RdRp</w:t>
      </w:r>
      <w:r w:rsidRPr="000B786F">
        <w:rPr>
          <w:b/>
          <w:bCs/>
          <w:u w:val="single"/>
        </w:rPr>
        <w:t xml:space="preserve"> and Nucleoprotein sequences, alongside host parasite cladogram.</w:t>
      </w:r>
      <w:r w:rsidRPr="000B786F">
        <w:t xml:space="preserve"> (a) Cladogram representing the phylogenetic relationships among parasite taxa. The tree includes </w:t>
      </w:r>
      <w:r>
        <w:t>color-coded</w:t>
      </w:r>
      <w:r w:rsidRPr="000B786F">
        <w:t xml:space="preserve"> parasite species for which </w:t>
      </w:r>
      <w:r w:rsidR="00514793">
        <w:t>“cotyl</w:t>
      </w:r>
      <w:r w:rsidRPr="000B786F">
        <w:t>virus</w:t>
      </w:r>
      <w:r w:rsidR="00514793">
        <w:t>”</w:t>
      </w:r>
      <w:r w:rsidRPr="000B786F">
        <w:t xml:space="preserve"> sequences were found. (b and c) Maximum likelihood phylogenetic tree based on amino acid sequences of the </w:t>
      </w:r>
      <w:r>
        <w:t>RdRp (</w:t>
      </w:r>
      <w:r w:rsidRPr="000B786F">
        <w:t xml:space="preserve">b), or Nucleoprotein (c) inferred using PhyML with the best-fit substitution model and 1,000 bootstrap replicates. Bootstrap support values are indicated at the nodes. </w:t>
      </w:r>
      <w:r w:rsidRPr="000B786F">
        <w:rPr>
          <w:i/>
          <w:iCs/>
        </w:rPr>
        <w:t xml:space="preserve">Phenuiviridae </w:t>
      </w:r>
      <w:r w:rsidRPr="000B786F">
        <w:t>viruses are used as outgroup. Color code is conserved across panels. Sequences shown in green represent endogenous viral elements detected within the genomes of closely related Schistosomes.</w:t>
      </w:r>
    </w:p>
    <w:p w14:paraId="21790C8F" w14:textId="77777777" w:rsidR="000E5D9B" w:rsidRDefault="000E5D9B" w:rsidP="00FC2269"/>
    <w:p w14:paraId="2B1E8A97" w14:textId="77777777" w:rsidR="002353CD" w:rsidRDefault="002353CD" w:rsidP="00FC2269">
      <w:pPr>
        <w:rPr>
          <w:b/>
          <w:bCs/>
          <w:u w:val="single"/>
        </w:rPr>
      </w:pPr>
    </w:p>
    <w:p w14:paraId="0991FB32" w14:textId="0E77774A" w:rsidR="002353CD" w:rsidRDefault="002353CD" w:rsidP="00FC2269">
      <w:pPr>
        <w:rPr>
          <w:b/>
          <w:bCs/>
          <w:u w:val="single"/>
        </w:rPr>
      </w:pPr>
      <w:r>
        <w:rPr>
          <w:noProof/>
        </w:rPr>
        <w:lastRenderedPageBreak/>
        <w:drawing>
          <wp:inline distT="0" distB="0" distL="0" distR="0" wp14:anchorId="109E1FE6" wp14:editId="024EA2C1">
            <wp:extent cx="2992424" cy="4981575"/>
            <wp:effectExtent l="0" t="0" r="0" b="0"/>
            <wp:docPr id="1933053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9507"/>
                    <a:stretch>
                      <a:fillRect/>
                    </a:stretch>
                  </pic:blipFill>
                  <pic:spPr bwMode="auto">
                    <a:xfrm>
                      <a:off x="0" y="0"/>
                      <a:ext cx="2992424" cy="4981575"/>
                    </a:xfrm>
                    <a:prstGeom prst="rect">
                      <a:avLst/>
                    </a:prstGeom>
                    <a:noFill/>
                    <a:ln>
                      <a:noFill/>
                    </a:ln>
                    <a:extLst>
                      <a:ext uri="{53640926-AAD7-44D8-BBD7-CCE9431645EC}">
                        <a14:shadowObscured xmlns:a14="http://schemas.microsoft.com/office/drawing/2010/main"/>
                      </a:ext>
                    </a:extLst>
                  </pic:spPr>
                </pic:pic>
              </a:graphicData>
            </a:graphic>
          </wp:inline>
        </w:drawing>
      </w:r>
    </w:p>
    <w:p w14:paraId="6C0DA31C" w14:textId="01230AE7" w:rsidR="00603F3F" w:rsidRPr="007F46B0" w:rsidRDefault="00603F3F" w:rsidP="007F46B0">
      <w:pPr>
        <w:jc w:val="both"/>
      </w:pPr>
      <w:r w:rsidRPr="00603F3F">
        <w:rPr>
          <w:b/>
          <w:bCs/>
          <w:u w:val="single"/>
        </w:rPr>
        <w:t xml:space="preserve">Figure 2. Maximum-likelihood phylogenetic tree showing the proposed new species </w:t>
      </w:r>
      <w:r w:rsidR="0066271F">
        <w:rPr>
          <w:b/>
          <w:bCs/>
          <w:u w:val="single"/>
        </w:rPr>
        <w:t xml:space="preserve">in blue, </w:t>
      </w:r>
      <w:r w:rsidRPr="00603F3F">
        <w:rPr>
          <w:b/>
          <w:bCs/>
          <w:u w:val="single"/>
        </w:rPr>
        <w:t xml:space="preserve">within the novel genus Cotylvirus and their phylogenetic position within the family </w:t>
      </w:r>
      <w:r w:rsidRPr="007F46B0">
        <w:rPr>
          <w:b/>
          <w:bCs/>
          <w:i/>
          <w:iCs/>
          <w:u w:val="single"/>
        </w:rPr>
        <w:t>Phenuiviridae</w:t>
      </w:r>
      <w:r w:rsidRPr="00603F3F">
        <w:rPr>
          <w:b/>
          <w:bCs/>
          <w:u w:val="single"/>
        </w:rPr>
        <w:t>.</w:t>
      </w:r>
      <w:r w:rsidR="0066271F">
        <w:rPr>
          <w:b/>
          <w:bCs/>
          <w:u w:val="single"/>
        </w:rPr>
        <w:t xml:space="preserve"> </w:t>
      </w:r>
    </w:p>
    <w:p w14:paraId="7055DA7D" w14:textId="45D9DF16" w:rsidR="0005294C" w:rsidRPr="0066271F" w:rsidRDefault="00603F3F" w:rsidP="007F46B0">
      <w:pPr>
        <w:jc w:val="both"/>
        <w:rPr>
          <w:rFonts w:ascii="Aptos" w:hAnsi="Aptos" w:cs="Arial"/>
          <w:color w:val="808080" w:themeColor="background1" w:themeShade="80"/>
          <w:sz w:val="20"/>
        </w:rPr>
      </w:pPr>
      <w:r w:rsidRPr="007F46B0">
        <w:t xml:space="preserve">Phylogenetic analyses were performed using amino acid sequences of the RNA-dependent RNA polymerase (RdRp) representing all recognized genera within the family </w:t>
      </w:r>
      <w:r w:rsidRPr="007F46B0">
        <w:rPr>
          <w:i/>
          <w:iCs/>
        </w:rPr>
        <w:t>Phenuiviridae</w:t>
      </w:r>
      <w:r w:rsidRPr="007F46B0">
        <w:t xml:space="preserve">. Sequences were aligned using MAFFT v7.526 with the “auto” option. The resulting alignment was trimmed using trimAl with the “automated1” setting to remove poorly aligned and gap-rich positions. A maximum-likelihood phylogenetic tree was reconstructed using IQ-TREE v3.1.0. The best-fitting amino acid substitution model was selected using ModelFinder based on the Bayesian Information Criterion (BIC). Branch support was assessed using the SH-like approximate likelihood ratio test (SH-aLRT) with 10,000 replicates. The newly proposed </w:t>
      </w:r>
      <w:r w:rsidR="0066271F">
        <w:t xml:space="preserve">viral </w:t>
      </w:r>
      <w:r w:rsidRPr="007F46B0">
        <w:t>species within the genus Cotylvirus are highlighted in</w:t>
      </w:r>
      <w:r w:rsidR="0066271F">
        <w:t xml:space="preserve"> blue</w:t>
      </w:r>
      <w:r w:rsidRPr="007F46B0">
        <w:t xml:space="preserve"> the tree.</w:t>
      </w:r>
      <w:r w:rsidR="0066271F" w:rsidRPr="0066271F">
        <w:rPr>
          <w:b/>
          <w:bCs/>
          <w:u w:val="single"/>
        </w:rPr>
        <w:t xml:space="preserve"> Viruses of other platyhelminthes, namely the </w:t>
      </w:r>
      <w:r w:rsidR="0066271F" w:rsidRPr="0066271F">
        <w:t>Eudiplozo phenuili virus (from a monogenanean parasite) and Triaenopho phenuili virus (from a cestode parasite) are shown in green whereas viruses of arthropods are shown in orange</w:t>
      </w:r>
      <w:r w:rsidR="0066271F">
        <w:t xml:space="preserve">. They each form distinct </w:t>
      </w:r>
      <w:r w:rsidR="0066271F" w:rsidRPr="0066271F">
        <w:t>clades on the tree.</w:t>
      </w:r>
    </w:p>
    <w:p w14:paraId="5556E8C1" w14:textId="694A2037" w:rsidR="00A174CC" w:rsidRPr="00F110F7" w:rsidRDefault="00A174CC" w:rsidP="00194378">
      <w:pPr>
        <w:rPr>
          <w:rFonts w:ascii="Aptos" w:hAnsi="Aptos"/>
          <w:color w:val="0070C0"/>
        </w:rPr>
      </w:pPr>
    </w:p>
    <w:sectPr w:rsidR="00A174CC" w:rsidRPr="00F110F7" w:rsidSect="00A82FBB">
      <w:headerReference w:type="even" r:id="rId11"/>
      <w:headerReference w:type="default" r:id="rId12"/>
      <w:footerReference w:type="even" r:id="rId13"/>
      <w:footerReference w:type="default" r:id="rId14"/>
      <w:headerReference w:type="first" r:id="rId15"/>
      <w:footerReference w:type="first" r:id="rId16"/>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0E7BB" w14:textId="77777777" w:rsidR="007356D3" w:rsidRDefault="007356D3">
      <w:r>
        <w:separator/>
      </w:r>
    </w:p>
  </w:endnote>
  <w:endnote w:type="continuationSeparator" w:id="0">
    <w:p w14:paraId="3DF3BA4D" w14:textId="77777777" w:rsidR="007356D3" w:rsidRDefault="00735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SemiBold">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55C0" w14:textId="77777777" w:rsidR="0004176B" w:rsidRDefault="000417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49BC" w14:textId="77777777" w:rsidR="0004176B" w:rsidRDefault="00041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1287D" w14:textId="77777777" w:rsidR="007356D3" w:rsidRDefault="007356D3">
      <w:r>
        <w:separator/>
      </w:r>
    </w:p>
  </w:footnote>
  <w:footnote w:type="continuationSeparator" w:id="0">
    <w:p w14:paraId="78253319" w14:textId="77777777" w:rsidR="007356D3" w:rsidRDefault="00735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4B2A" w14:textId="77777777" w:rsidR="0004176B" w:rsidRDefault="00041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026ABBD3"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04176B">
      <w:rPr>
        <w:rFonts w:ascii="Aptos" w:hAnsi="Aptos"/>
        <w:i/>
        <w:sz w:val="18"/>
        <w:szCs w:val="18"/>
      </w:rPr>
      <w:t>5</w:t>
    </w:r>
    <w:r w:rsidR="00AD5A3A" w:rsidRPr="00F110F7">
      <w:rPr>
        <w:rFonts w:ascii="Aptos" w:hAnsi="Aptos"/>
        <w:i/>
        <w:sz w:val="18"/>
        <w:szCs w:val="18"/>
      </w:rPr>
      <w:t xml:space="preserve">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269D" w14:textId="77777777" w:rsidR="0004176B" w:rsidRDefault="00041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95FFB"/>
    <w:multiLevelType w:val="hybridMultilevel"/>
    <w:tmpl w:val="0F8E1098"/>
    <w:lvl w:ilvl="0" w:tplc="421813E8">
      <w:start w:val="1"/>
      <w:numFmt w:val="bullet"/>
      <w:lvlText w:val="-"/>
      <w:lvlJc w:val="left"/>
      <w:pPr>
        <w:ind w:left="720" w:hanging="360"/>
      </w:pPr>
      <w:rPr>
        <w:rFonts w:ascii="Aptos" w:eastAsia="Times New Roman" w:hAnsi="Apto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4581"/>
    <w:rsid w:val="0000614D"/>
    <w:rsid w:val="00017BF9"/>
    <w:rsid w:val="00023385"/>
    <w:rsid w:val="00035A87"/>
    <w:rsid w:val="000406E1"/>
    <w:rsid w:val="00040CB0"/>
    <w:rsid w:val="0004176B"/>
    <w:rsid w:val="000449DB"/>
    <w:rsid w:val="00045168"/>
    <w:rsid w:val="0005294C"/>
    <w:rsid w:val="0006101F"/>
    <w:rsid w:val="0008012E"/>
    <w:rsid w:val="000A05B8"/>
    <w:rsid w:val="000A0EF9"/>
    <w:rsid w:val="000A146A"/>
    <w:rsid w:val="000A7027"/>
    <w:rsid w:val="000B1BF3"/>
    <w:rsid w:val="000B5D78"/>
    <w:rsid w:val="000B6878"/>
    <w:rsid w:val="000D182E"/>
    <w:rsid w:val="000E5D9B"/>
    <w:rsid w:val="000F05A1"/>
    <w:rsid w:val="000F4202"/>
    <w:rsid w:val="000F51F4"/>
    <w:rsid w:val="000F7067"/>
    <w:rsid w:val="00106232"/>
    <w:rsid w:val="0011008F"/>
    <w:rsid w:val="00117C72"/>
    <w:rsid w:val="0012457A"/>
    <w:rsid w:val="0013113D"/>
    <w:rsid w:val="001316CF"/>
    <w:rsid w:val="001322FC"/>
    <w:rsid w:val="00153AE0"/>
    <w:rsid w:val="00171083"/>
    <w:rsid w:val="00172351"/>
    <w:rsid w:val="00183CF3"/>
    <w:rsid w:val="00194378"/>
    <w:rsid w:val="001955E5"/>
    <w:rsid w:val="001C42A9"/>
    <w:rsid w:val="001D0007"/>
    <w:rsid w:val="001D3E3E"/>
    <w:rsid w:val="001E3163"/>
    <w:rsid w:val="00220A26"/>
    <w:rsid w:val="002229D3"/>
    <w:rsid w:val="002312CE"/>
    <w:rsid w:val="0023149A"/>
    <w:rsid w:val="002353CD"/>
    <w:rsid w:val="0023696B"/>
    <w:rsid w:val="0024086E"/>
    <w:rsid w:val="00245C29"/>
    <w:rsid w:val="00253B21"/>
    <w:rsid w:val="0025498B"/>
    <w:rsid w:val="002556B8"/>
    <w:rsid w:val="00273642"/>
    <w:rsid w:val="002839C4"/>
    <w:rsid w:val="00296DA3"/>
    <w:rsid w:val="002A5A83"/>
    <w:rsid w:val="002B2806"/>
    <w:rsid w:val="002D4340"/>
    <w:rsid w:val="002E3E9C"/>
    <w:rsid w:val="0030220B"/>
    <w:rsid w:val="003145C1"/>
    <w:rsid w:val="00325B29"/>
    <w:rsid w:val="00327E73"/>
    <w:rsid w:val="00333392"/>
    <w:rsid w:val="00355CE0"/>
    <w:rsid w:val="00357BD4"/>
    <w:rsid w:val="00363A30"/>
    <w:rsid w:val="0037243A"/>
    <w:rsid w:val="00376D0A"/>
    <w:rsid w:val="0037760D"/>
    <w:rsid w:val="00382FE8"/>
    <w:rsid w:val="00383BBF"/>
    <w:rsid w:val="0038593F"/>
    <w:rsid w:val="003972DE"/>
    <w:rsid w:val="003A166F"/>
    <w:rsid w:val="003A18C5"/>
    <w:rsid w:val="003A5ED7"/>
    <w:rsid w:val="003B0883"/>
    <w:rsid w:val="003B3832"/>
    <w:rsid w:val="003C5428"/>
    <w:rsid w:val="003D1686"/>
    <w:rsid w:val="003D4282"/>
    <w:rsid w:val="003F2A97"/>
    <w:rsid w:val="00400ED7"/>
    <w:rsid w:val="00401F98"/>
    <w:rsid w:val="00410F16"/>
    <w:rsid w:val="0043110C"/>
    <w:rsid w:val="00432D19"/>
    <w:rsid w:val="004361CB"/>
    <w:rsid w:val="00437970"/>
    <w:rsid w:val="00471256"/>
    <w:rsid w:val="00477F66"/>
    <w:rsid w:val="00480D09"/>
    <w:rsid w:val="00494D95"/>
    <w:rsid w:val="00497F1C"/>
    <w:rsid w:val="004A5C40"/>
    <w:rsid w:val="004E5F1C"/>
    <w:rsid w:val="004F2F1E"/>
    <w:rsid w:val="004F3196"/>
    <w:rsid w:val="00514793"/>
    <w:rsid w:val="00514BCB"/>
    <w:rsid w:val="00536426"/>
    <w:rsid w:val="00543F86"/>
    <w:rsid w:val="0055461D"/>
    <w:rsid w:val="00565250"/>
    <w:rsid w:val="0058465A"/>
    <w:rsid w:val="00590DF3"/>
    <w:rsid w:val="00592E77"/>
    <w:rsid w:val="00594687"/>
    <w:rsid w:val="005A2C65"/>
    <w:rsid w:val="005A54C3"/>
    <w:rsid w:val="005C1FA3"/>
    <w:rsid w:val="005C37DE"/>
    <w:rsid w:val="005D603F"/>
    <w:rsid w:val="00603F3F"/>
    <w:rsid w:val="006043FB"/>
    <w:rsid w:val="00607227"/>
    <w:rsid w:val="006109F7"/>
    <w:rsid w:val="00614985"/>
    <w:rsid w:val="00647814"/>
    <w:rsid w:val="0066271F"/>
    <w:rsid w:val="0067795B"/>
    <w:rsid w:val="00683D0C"/>
    <w:rsid w:val="00696FA0"/>
    <w:rsid w:val="006B7AB8"/>
    <w:rsid w:val="006C0F51"/>
    <w:rsid w:val="006D18F6"/>
    <w:rsid w:val="006D428E"/>
    <w:rsid w:val="006F077F"/>
    <w:rsid w:val="00723577"/>
    <w:rsid w:val="0072682D"/>
    <w:rsid w:val="007356D3"/>
    <w:rsid w:val="00736440"/>
    <w:rsid w:val="00737875"/>
    <w:rsid w:val="00740A3F"/>
    <w:rsid w:val="0076600D"/>
    <w:rsid w:val="007A2C0F"/>
    <w:rsid w:val="007B0F70"/>
    <w:rsid w:val="007B0FAD"/>
    <w:rsid w:val="007B6511"/>
    <w:rsid w:val="007E0EF5"/>
    <w:rsid w:val="007E667B"/>
    <w:rsid w:val="007F46B0"/>
    <w:rsid w:val="00815A94"/>
    <w:rsid w:val="00821C38"/>
    <w:rsid w:val="00822B3A"/>
    <w:rsid w:val="00824208"/>
    <w:rsid w:val="008308A0"/>
    <w:rsid w:val="00852D43"/>
    <w:rsid w:val="00865726"/>
    <w:rsid w:val="00872183"/>
    <w:rsid w:val="00877B28"/>
    <w:rsid w:val="008815EE"/>
    <w:rsid w:val="00882F8D"/>
    <w:rsid w:val="008A22E9"/>
    <w:rsid w:val="008B43B1"/>
    <w:rsid w:val="008B7951"/>
    <w:rsid w:val="008F51E2"/>
    <w:rsid w:val="008F7AFB"/>
    <w:rsid w:val="00901EBC"/>
    <w:rsid w:val="00903048"/>
    <w:rsid w:val="00906784"/>
    <w:rsid w:val="009078FF"/>
    <w:rsid w:val="009106A4"/>
    <w:rsid w:val="009457C8"/>
    <w:rsid w:val="00953FFE"/>
    <w:rsid w:val="00964F7C"/>
    <w:rsid w:val="009703AF"/>
    <w:rsid w:val="00974174"/>
    <w:rsid w:val="009741D1"/>
    <w:rsid w:val="00974C28"/>
    <w:rsid w:val="00976E37"/>
    <w:rsid w:val="009A0FED"/>
    <w:rsid w:val="009A3B4A"/>
    <w:rsid w:val="009F7856"/>
    <w:rsid w:val="00A10BA1"/>
    <w:rsid w:val="00A174CC"/>
    <w:rsid w:val="00A214A0"/>
    <w:rsid w:val="00A2357C"/>
    <w:rsid w:val="00A443CA"/>
    <w:rsid w:val="00A75796"/>
    <w:rsid w:val="00A77B8E"/>
    <w:rsid w:val="00A82FBB"/>
    <w:rsid w:val="00AA0FA2"/>
    <w:rsid w:val="00AA4711"/>
    <w:rsid w:val="00AA7130"/>
    <w:rsid w:val="00AB2EE4"/>
    <w:rsid w:val="00AD201A"/>
    <w:rsid w:val="00AD2884"/>
    <w:rsid w:val="00AD5A3A"/>
    <w:rsid w:val="00AD759B"/>
    <w:rsid w:val="00AE2E79"/>
    <w:rsid w:val="00AE528C"/>
    <w:rsid w:val="00AE5D9C"/>
    <w:rsid w:val="00AF4998"/>
    <w:rsid w:val="00AF7A4C"/>
    <w:rsid w:val="00B03B7F"/>
    <w:rsid w:val="00B1187F"/>
    <w:rsid w:val="00B13A83"/>
    <w:rsid w:val="00B35CC8"/>
    <w:rsid w:val="00B47589"/>
    <w:rsid w:val="00B91CFE"/>
    <w:rsid w:val="00BA3BFF"/>
    <w:rsid w:val="00BC13C1"/>
    <w:rsid w:val="00BC7AB1"/>
    <w:rsid w:val="00BD7967"/>
    <w:rsid w:val="00BE4F5A"/>
    <w:rsid w:val="00C3067A"/>
    <w:rsid w:val="00C5493D"/>
    <w:rsid w:val="00C55633"/>
    <w:rsid w:val="00C8775F"/>
    <w:rsid w:val="00C95FB7"/>
    <w:rsid w:val="00CC6E1F"/>
    <w:rsid w:val="00CD2C82"/>
    <w:rsid w:val="00CF59EA"/>
    <w:rsid w:val="00D04287"/>
    <w:rsid w:val="00D062BE"/>
    <w:rsid w:val="00D10857"/>
    <w:rsid w:val="00D13AD5"/>
    <w:rsid w:val="00D23567"/>
    <w:rsid w:val="00D46663"/>
    <w:rsid w:val="00D56552"/>
    <w:rsid w:val="00D701DE"/>
    <w:rsid w:val="00D77E1C"/>
    <w:rsid w:val="00DA41D4"/>
    <w:rsid w:val="00DA7590"/>
    <w:rsid w:val="00DB012F"/>
    <w:rsid w:val="00DB5E82"/>
    <w:rsid w:val="00DD58AA"/>
    <w:rsid w:val="00DE01F5"/>
    <w:rsid w:val="00E034BE"/>
    <w:rsid w:val="00E37077"/>
    <w:rsid w:val="00E50727"/>
    <w:rsid w:val="00E811AB"/>
    <w:rsid w:val="00E863D4"/>
    <w:rsid w:val="00E969AE"/>
    <w:rsid w:val="00ED4569"/>
    <w:rsid w:val="00EE484F"/>
    <w:rsid w:val="00EF2448"/>
    <w:rsid w:val="00F023E1"/>
    <w:rsid w:val="00F110F7"/>
    <w:rsid w:val="00F260A1"/>
    <w:rsid w:val="00F27C9F"/>
    <w:rsid w:val="00F62692"/>
    <w:rsid w:val="00F711CE"/>
    <w:rsid w:val="00F74510"/>
    <w:rsid w:val="00F9028E"/>
    <w:rsid w:val="00F911F1"/>
    <w:rsid w:val="00FA1DC3"/>
    <w:rsid w:val="00FA5878"/>
    <w:rsid w:val="00FB300C"/>
    <w:rsid w:val="00FC1B5E"/>
    <w:rsid w:val="00FC2269"/>
    <w:rsid w:val="00FD585A"/>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53AE0"/>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F260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260A1"/>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62339939">
      <w:bodyDiv w:val="1"/>
      <w:marLeft w:val="0"/>
      <w:marRight w:val="0"/>
      <w:marTop w:val="0"/>
      <w:marBottom w:val="0"/>
      <w:divBdr>
        <w:top w:val="none" w:sz="0" w:space="0" w:color="auto"/>
        <w:left w:val="none" w:sz="0" w:space="0" w:color="auto"/>
        <w:bottom w:val="none" w:sz="0" w:space="0" w:color="auto"/>
        <w:right w:val="none" w:sz="0" w:space="0" w:color="auto"/>
      </w:divBdr>
    </w:div>
    <w:div w:id="348532174">
      <w:bodyDiv w:val="1"/>
      <w:marLeft w:val="0"/>
      <w:marRight w:val="0"/>
      <w:marTop w:val="0"/>
      <w:marBottom w:val="0"/>
      <w:divBdr>
        <w:top w:val="none" w:sz="0" w:space="0" w:color="auto"/>
        <w:left w:val="none" w:sz="0" w:space="0" w:color="auto"/>
        <w:bottom w:val="none" w:sz="0" w:space="0" w:color="auto"/>
        <w:right w:val="none" w:sz="0" w:space="0" w:color="auto"/>
      </w:divBdr>
    </w:div>
    <w:div w:id="428744005">
      <w:bodyDiv w:val="1"/>
      <w:marLeft w:val="0"/>
      <w:marRight w:val="0"/>
      <w:marTop w:val="0"/>
      <w:marBottom w:val="0"/>
      <w:divBdr>
        <w:top w:val="none" w:sz="0" w:space="0" w:color="auto"/>
        <w:left w:val="none" w:sz="0" w:space="0" w:color="auto"/>
        <w:bottom w:val="none" w:sz="0" w:space="0" w:color="auto"/>
        <w:right w:val="none" w:sz="0" w:space="0" w:color="auto"/>
      </w:divBdr>
      <w:divsChild>
        <w:div w:id="1744252990">
          <w:marLeft w:val="0"/>
          <w:marRight w:val="0"/>
          <w:marTop w:val="75"/>
          <w:marBottom w:val="0"/>
          <w:divBdr>
            <w:top w:val="none" w:sz="0" w:space="0" w:color="auto"/>
            <w:left w:val="none" w:sz="0" w:space="0" w:color="auto"/>
            <w:bottom w:val="none" w:sz="0" w:space="0" w:color="auto"/>
            <w:right w:val="none" w:sz="0" w:space="0" w:color="auto"/>
          </w:divBdr>
        </w:div>
        <w:div w:id="1383401853">
          <w:marLeft w:val="0"/>
          <w:marRight w:val="0"/>
          <w:marTop w:val="75"/>
          <w:marBottom w:val="0"/>
          <w:divBdr>
            <w:top w:val="none" w:sz="0" w:space="0" w:color="auto"/>
            <w:left w:val="none" w:sz="0" w:space="0" w:color="auto"/>
            <w:bottom w:val="none" w:sz="0" w:space="0" w:color="auto"/>
            <w:right w:val="none" w:sz="0" w:space="0" w:color="auto"/>
          </w:divBdr>
        </w:div>
      </w:divsChild>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957219938">
      <w:bodyDiv w:val="1"/>
      <w:marLeft w:val="0"/>
      <w:marRight w:val="0"/>
      <w:marTop w:val="0"/>
      <w:marBottom w:val="0"/>
      <w:divBdr>
        <w:top w:val="none" w:sz="0" w:space="0" w:color="auto"/>
        <w:left w:val="none" w:sz="0" w:space="0" w:color="auto"/>
        <w:bottom w:val="none" w:sz="0" w:space="0" w:color="auto"/>
        <w:right w:val="none" w:sz="0" w:space="0" w:color="auto"/>
      </w:divBdr>
    </w:div>
    <w:div w:id="1138455009">
      <w:bodyDiv w:val="1"/>
      <w:marLeft w:val="0"/>
      <w:marRight w:val="0"/>
      <w:marTop w:val="0"/>
      <w:marBottom w:val="0"/>
      <w:divBdr>
        <w:top w:val="none" w:sz="0" w:space="0" w:color="auto"/>
        <w:left w:val="none" w:sz="0" w:space="0" w:color="auto"/>
        <w:bottom w:val="none" w:sz="0" w:space="0" w:color="auto"/>
        <w:right w:val="none" w:sz="0" w:space="0" w:color="auto"/>
      </w:divBdr>
    </w:div>
    <w:div w:id="1333071692">
      <w:bodyDiv w:val="1"/>
      <w:marLeft w:val="0"/>
      <w:marRight w:val="0"/>
      <w:marTop w:val="0"/>
      <w:marBottom w:val="0"/>
      <w:divBdr>
        <w:top w:val="none" w:sz="0" w:space="0" w:color="auto"/>
        <w:left w:val="none" w:sz="0" w:space="0" w:color="auto"/>
        <w:bottom w:val="none" w:sz="0" w:space="0" w:color="auto"/>
        <w:right w:val="none" w:sz="0" w:space="0" w:color="auto"/>
      </w:divBdr>
    </w:div>
    <w:div w:id="1470979359">
      <w:bodyDiv w:val="1"/>
      <w:marLeft w:val="0"/>
      <w:marRight w:val="0"/>
      <w:marTop w:val="0"/>
      <w:marBottom w:val="0"/>
      <w:divBdr>
        <w:top w:val="none" w:sz="0" w:space="0" w:color="auto"/>
        <w:left w:val="none" w:sz="0" w:space="0" w:color="auto"/>
        <w:bottom w:val="none" w:sz="0" w:space="0" w:color="auto"/>
        <w:right w:val="none" w:sz="0" w:space="0" w:color="auto"/>
      </w:divBdr>
    </w:div>
    <w:div w:id="1622497994">
      <w:bodyDiv w:val="1"/>
      <w:marLeft w:val="0"/>
      <w:marRight w:val="0"/>
      <w:marTop w:val="0"/>
      <w:marBottom w:val="0"/>
      <w:divBdr>
        <w:top w:val="none" w:sz="0" w:space="0" w:color="auto"/>
        <w:left w:val="none" w:sz="0" w:space="0" w:color="auto"/>
        <w:bottom w:val="none" w:sz="0" w:space="0" w:color="auto"/>
        <w:right w:val="none" w:sz="0" w:space="0" w:color="auto"/>
      </w:divBdr>
      <w:divsChild>
        <w:div w:id="628316816">
          <w:marLeft w:val="0"/>
          <w:marRight w:val="0"/>
          <w:marTop w:val="75"/>
          <w:marBottom w:val="0"/>
          <w:divBdr>
            <w:top w:val="none" w:sz="0" w:space="0" w:color="auto"/>
            <w:left w:val="none" w:sz="0" w:space="0" w:color="auto"/>
            <w:bottom w:val="none" w:sz="0" w:space="0" w:color="auto"/>
            <w:right w:val="none" w:sz="0" w:space="0" w:color="auto"/>
          </w:divBdr>
        </w:div>
        <w:div w:id="1701540831">
          <w:marLeft w:val="0"/>
          <w:marRight w:val="0"/>
          <w:marTop w:val="75"/>
          <w:marBottom w:val="0"/>
          <w:divBdr>
            <w:top w:val="none" w:sz="0" w:space="0" w:color="auto"/>
            <w:left w:val="none" w:sz="0" w:space="0" w:color="auto"/>
            <w:bottom w:val="none" w:sz="0" w:space="0" w:color="auto"/>
            <w:right w:val="none" w:sz="0" w:space="0" w:color="auto"/>
          </w:divBdr>
        </w:div>
      </w:divsChild>
    </w:div>
    <w:div w:id="1669019662">
      <w:bodyDiv w:val="1"/>
      <w:marLeft w:val="0"/>
      <w:marRight w:val="0"/>
      <w:marTop w:val="0"/>
      <w:marBottom w:val="0"/>
      <w:divBdr>
        <w:top w:val="none" w:sz="0" w:space="0" w:color="auto"/>
        <w:left w:val="none" w:sz="0" w:space="0" w:color="auto"/>
        <w:bottom w:val="none" w:sz="0" w:space="0" w:color="auto"/>
        <w:right w:val="none" w:sz="0" w:space="0" w:color="auto"/>
      </w:divBdr>
    </w:div>
    <w:div w:id="1893149434">
      <w:bodyDiv w:val="1"/>
      <w:marLeft w:val="0"/>
      <w:marRight w:val="0"/>
      <w:marTop w:val="0"/>
      <w:marBottom w:val="0"/>
      <w:divBdr>
        <w:top w:val="none" w:sz="0" w:space="0" w:color="auto"/>
        <w:left w:val="none" w:sz="0" w:space="0" w:color="auto"/>
        <w:bottom w:val="none" w:sz="0" w:space="0" w:color="auto"/>
        <w:right w:val="none" w:sz="0" w:space="0" w:color="auto"/>
      </w:divBdr>
    </w:div>
    <w:div w:id="2005473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280D1-3C96-4B1E-ADB1-6DEDE3C5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2047</Words>
  <Characters>11674</Characters>
  <Application>Microsoft Office Word</Application>
  <DocSecurity>0</DocSecurity>
  <Lines>97</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16</cp:revision>
  <dcterms:created xsi:type="dcterms:W3CDTF">2026-09-24T17:11:00Z</dcterms:created>
  <dcterms:modified xsi:type="dcterms:W3CDTF">2026-10-06T15:01:00Z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7b94a7b8-f06c-4dfe-bdcc-9b548fd58c31_Enabled">
    <vt:lpwstr>true</vt:lpwstr>
  </property>
  <property fmtid="{D5CDD505-2E9C-101B-9397-08002B2CF9AE}" pid="9" name="MSIP_Label_7b94a7b8-f06c-4dfe-bdcc-9b548fd58c31_SetDate">
    <vt:lpwstr>2025-06-02T20:11:40Z</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iteId">
    <vt:lpwstr>9ce70869-60db-44fd-abe8-d2767077fc8f</vt:lpwstr>
  </property>
  <property fmtid="{D5CDD505-2E9C-101B-9397-08002B2CF9AE}" pid="13" name="MSIP_Label_7b94a7b8-f06c-4dfe-bdcc-9b548fd58c31_ActionId">
    <vt:lpwstr>85ad8b97-94fb-4ec9-a8f9-37958bc10377</vt:lpwstr>
  </property>
  <property fmtid="{D5CDD505-2E9C-101B-9397-08002B2CF9AE}" pid="14" name="MSIP_Label_7b94a7b8-f06c-4dfe-bdcc-9b548fd58c31_ContentBits">
    <vt:lpwstr>0</vt:lpwstr>
  </property>
</Properties>
</file>